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40" w:rsidRDefault="00B43A40" w:rsidP="00527D49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</w:p>
    <w:p w:rsidR="00B43A40" w:rsidRDefault="00B43A40" w:rsidP="00527D49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</w:p>
    <w:p w:rsidR="00514301" w:rsidRPr="00514301" w:rsidRDefault="00514301" w:rsidP="00527D49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  <w:r w:rsidRPr="00514301">
        <w:rPr>
          <w:rFonts w:ascii="Calibri" w:hAnsi="Calibri" w:cs="Calibri"/>
          <w:b/>
          <w:sz w:val="24"/>
          <w:szCs w:val="24"/>
        </w:rPr>
        <w:t>Voto particular concurrente que presenta  la vocal Gabriela Bravo Sanestanislao al a</w:t>
      </w:r>
      <w:r w:rsidR="0076412E">
        <w:rPr>
          <w:rFonts w:ascii="Calibri" w:hAnsi="Calibri" w:cs="Calibri"/>
          <w:b/>
          <w:sz w:val="24"/>
          <w:szCs w:val="24"/>
        </w:rPr>
        <w:t>cuerdo adoptado en el punto I</w:t>
      </w:r>
      <w:bookmarkStart w:id="0" w:name="_GoBack"/>
      <w:bookmarkEnd w:id="0"/>
      <w:r w:rsidR="0076412E">
        <w:rPr>
          <w:rFonts w:ascii="Calibri" w:hAnsi="Calibri" w:cs="Calibri"/>
          <w:b/>
          <w:sz w:val="24"/>
          <w:szCs w:val="24"/>
        </w:rPr>
        <w:t>-22</w:t>
      </w:r>
      <w:r w:rsidRPr="00514301">
        <w:rPr>
          <w:rFonts w:ascii="Calibri" w:hAnsi="Calibri" w:cs="Calibri"/>
          <w:b/>
          <w:sz w:val="24"/>
          <w:szCs w:val="24"/>
        </w:rPr>
        <w:t xml:space="preserve"> del orden d</w:t>
      </w:r>
      <w:r w:rsidR="0076412E">
        <w:rPr>
          <w:rFonts w:ascii="Calibri" w:hAnsi="Calibri" w:cs="Calibri"/>
          <w:b/>
          <w:sz w:val="24"/>
          <w:szCs w:val="24"/>
        </w:rPr>
        <w:t>el día del pleno celebrado el 26</w:t>
      </w:r>
      <w:r w:rsidRPr="00514301">
        <w:rPr>
          <w:rFonts w:ascii="Calibri" w:hAnsi="Calibri" w:cs="Calibri"/>
          <w:b/>
          <w:sz w:val="24"/>
          <w:szCs w:val="24"/>
        </w:rPr>
        <w:t>-11-2013</w:t>
      </w:r>
    </w:p>
    <w:p w:rsidR="00B43A40" w:rsidRDefault="00B43A40" w:rsidP="00B43A40">
      <w:pPr>
        <w:jc w:val="both"/>
        <w:rPr>
          <w:rFonts w:ascii="Calibri" w:hAnsi="Calibri" w:cs="Calibri"/>
          <w:sz w:val="24"/>
          <w:szCs w:val="24"/>
        </w:rPr>
      </w:pPr>
    </w:p>
    <w:p w:rsidR="006D2211" w:rsidRDefault="00527D49" w:rsidP="00B43A40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 final del mandato del VI Consejo General del Poder Judicial, que arrancó su andadura un 23 de septiembre de 2008, es ocasión </w:t>
      </w:r>
      <w:r w:rsidR="00BE22EA">
        <w:rPr>
          <w:rFonts w:ascii="Calibri" w:hAnsi="Calibri" w:cs="Calibri"/>
          <w:sz w:val="24"/>
          <w:szCs w:val="24"/>
        </w:rPr>
        <w:t xml:space="preserve">adecuada </w:t>
      </w:r>
      <w:r>
        <w:rPr>
          <w:rFonts w:ascii="Calibri" w:hAnsi="Calibri" w:cs="Calibri"/>
          <w:sz w:val="24"/>
          <w:szCs w:val="24"/>
        </w:rPr>
        <w:t>para rendir cuentas ante la sociedad</w:t>
      </w:r>
      <w:r w:rsidR="000A3356">
        <w:rPr>
          <w:rFonts w:ascii="Calibri" w:hAnsi="Calibri" w:cs="Calibri"/>
          <w:sz w:val="24"/>
          <w:szCs w:val="24"/>
        </w:rPr>
        <w:t xml:space="preserve"> y la carrera judicial</w:t>
      </w:r>
      <w:r>
        <w:rPr>
          <w:rFonts w:ascii="Calibri" w:hAnsi="Calibri" w:cs="Calibri"/>
          <w:sz w:val="24"/>
          <w:szCs w:val="24"/>
        </w:rPr>
        <w:t xml:space="preserve"> del trabajo realizado durante este intenso quinquenio. Ese es el objetivo último de este documento que, dado la imposibilidad de resumir la ingente labor realizada a lo largo de estos cinco años, recoge los principales hitos de una etapa en la que el Consejo se ha esforzado por </w:t>
      </w:r>
      <w:r w:rsidRPr="00266E8C">
        <w:rPr>
          <w:rFonts w:ascii="Calibri" w:hAnsi="Calibri" w:cs="Calibri"/>
          <w:sz w:val="24"/>
          <w:szCs w:val="24"/>
        </w:rPr>
        <w:t xml:space="preserve">desempeñar un papel activo en el proceso de transformación de </w:t>
      </w:r>
      <w:r>
        <w:rPr>
          <w:rFonts w:ascii="Calibri" w:hAnsi="Calibri" w:cs="Calibri"/>
          <w:sz w:val="24"/>
          <w:szCs w:val="24"/>
        </w:rPr>
        <w:t>l</w:t>
      </w:r>
      <w:r w:rsidRPr="00266E8C">
        <w:rPr>
          <w:rFonts w:ascii="Calibri" w:hAnsi="Calibri" w:cs="Calibri"/>
          <w:sz w:val="24"/>
          <w:szCs w:val="24"/>
        </w:rPr>
        <w:t>a administración de justicia y contribuir con ello, junto con el resto de instituciones implicadas en esta tarea, a la construcción del servicio público moderno, ágil y eficaz que merecen y demandan los ciudadanos</w:t>
      </w:r>
      <w:r>
        <w:rPr>
          <w:rFonts w:ascii="Calibri" w:hAnsi="Calibri" w:cs="Calibri"/>
          <w:sz w:val="24"/>
          <w:szCs w:val="24"/>
        </w:rPr>
        <w:t xml:space="preserve"> de la España del siglo XXI</w:t>
      </w:r>
      <w:r w:rsidRPr="00266E8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527D49" w:rsidRDefault="00527D49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Pero </w:t>
      </w:r>
      <w:r w:rsidR="006D2211">
        <w:rPr>
          <w:rFonts w:ascii="Calibri" w:hAnsi="Calibri" w:cs="Calibri"/>
          <w:sz w:val="24"/>
          <w:szCs w:val="24"/>
        </w:rPr>
        <w:t xml:space="preserve">un balance de mandato </w:t>
      </w:r>
      <w:r>
        <w:rPr>
          <w:rFonts w:ascii="Calibri" w:hAnsi="Calibri" w:cs="Calibri"/>
          <w:sz w:val="24"/>
          <w:szCs w:val="24"/>
        </w:rPr>
        <w:t>también es el momento de deja</w:t>
      </w:r>
      <w:r w:rsidR="00BE22EA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 constancia de las insatisfacciones derivadas de la frustración de los proy</w:t>
      </w:r>
      <w:r w:rsidR="00EB0DE0">
        <w:rPr>
          <w:rFonts w:ascii="Calibri" w:hAnsi="Calibri" w:cs="Calibri"/>
          <w:sz w:val="24"/>
          <w:szCs w:val="24"/>
        </w:rPr>
        <w:t>ectos que el Consejo di</w:t>
      </w:r>
      <w:r w:rsidR="00BE22EA">
        <w:rPr>
          <w:rFonts w:ascii="Calibri" w:hAnsi="Calibri" w:cs="Calibri"/>
          <w:sz w:val="24"/>
          <w:szCs w:val="24"/>
        </w:rPr>
        <w:t>señó,</w:t>
      </w:r>
      <w:r w:rsidR="00EB0DE0">
        <w:rPr>
          <w:rFonts w:ascii="Calibri" w:hAnsi="Calibri" w:cs="Calibri"/>
          <w:sz w:val="24"/>
          <w:szCs w:val="24"/>
        </w:rPr>
        <w:t xml:space="preserve"> desde la posición estratégica que ocupa como órgano constitucional,</w:t>
      </w:r>
      <w:r>
        <w:rPr>
          <w:rFonts w:ascii="Calibri" w:hAnsi="Calibri" w:cs="Calibri"/>
          <w:sz w:val="24"/>
          <w:szCs w:val="24"/>
        </w:rPr>
        <w:t xml:space="preserve"> para contribuir a la modernización y cambio de nuestra Administración de Justicia con la colaboración de las demás Instituciones implicadas y en un marco presidido por el respeto institucional</w:t>
      </w:r>
      <w:r w:rsidR="00BE22EA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527D49" w:rsidRDefault="00527D49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Prueba de aquel empeño es el Plan de Modernización de la Justicia, </w:t>
      </w:r>
      <w:r w:rsidRPr="00266E8C">
        <w:rPr>
          <w:rFonts w:ascii="Calibri" w:hAnsi="Calibri" w:cs="Calibri"/>
          <w:sz w:val="24"/>
          <w:szCs w:val="24"/>
        </w:rPr>
        <w:t>aprobado en el mes de noviembre de 2008</w:t>
      </w:r>
      <w:r>
        <w:rPr>
          <w:rFonts w:ascii="Calibri" w:hAnsi="Calibri" w:cs="Calibri"/>
          <w:sz w:val="24"/>
          <w:szCs w:val="24"/>
        </w:rPr>
        <w:t xml:space="preserve">. </w:t>
      </w:r>
      <w:r w:rsidR="00EB0DE0">
        <w:rPr>
          <w:rFonts w:ascii="Calibri" w:hAnsi="Calibri" w:cs="Calibri"/>
          <w:sz w:val="24"/>
          <w:szCs w:val="24"/>
        </w:rPr>
        <w:t xml:space="preserve">Su objetivo no era </w:t>
      </w:r>
      <w:r>
        <w:rPr>
          <w:rFonts w:ascii="Calibri" w:hAnsi="Calibri" w:cs="Calibri"/>
          <w:sz w:val="24"/>
          <w:szCs w:val="24"/>
        </w:rPr>
        <w:t xml:space="preserve"> otro que </w:t>
      </w:r>
      <w:r w:rsidRPr="00266E8C">
        <w:rPr>
          <w:rFonts w:ascii="Calibri" w:hAnsi="Calibri" w:cs="Calibri"/>
          <w:sz w:val="24"/>
          <w:szCs w:val="24"/>
        </w:rPr>
        <w:t>la mejora de la justicia a través de la transformación de sus estructuras</w:t>
      </w:r>
      <w:r>
        <w:rPr>
          <w:rFonts w:ascii="Calibri" w:hAnsi="Calibri" w:cs="Calibri"/>
          <w:sz w:val="24"/>
          <w:szCs w:val="24"/>
        </w:rPr>
        <w:t xml:space="preserve"> y procedimientos judiciales</w:t>
      </w:r>
      <w:r w:rsidR="00BE22EA">
        <w:rPr>
          <w:rFonts w:ascii="Calibri" w:hAnsi="Calibri" w:cs="Calibri"/>
          <w:sz w:val="24"/>
          <w:szCs w:val="24"/>
        </w:rPr>
        <w:t>, así</w:t>
      </w:r>
      <w:r>
        <w:rPr>
          <w:rFonts w:ascii="Calibri" w:hAnsi="Calibri" w:cs="Calibri"/>
          <w:sz w:val="24"/>
          <w:szCs w:val="24"/>
        </w:rPr>
        <w:t xml:space="preserve"> como el impulso de las medidas necesarias para que la justicia española </w:t>
      </w:r>
      <w:r w:rsidR="00EB0DE0">
        <w:rPr>
          <w:rFonts w:ascii="Calibri" w:hAnsi="Calibri" w:cs="Calibri"/>
          <w:sz w:val="24"/>
          <w:szCs w:val="24"/>
        </w:rPr>
        <w:t>superara modelos obsoletos que afianzaban la ineficacia y la ineficiencia.</w:t>
      </w:r>
    </w:p>
    <w:p w:rsidR="00BE22EA" w:rsidRDefault="00527D49" w:rsidP="00BE22EA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9F58FD">
        <w:rPr>
          <w:rFonts w:ascii="Calibri" w:hAnsi="Calibri" w:cs="Calibri"/>
          <w:sz w:val="24"/>
          <w:szCs w:val="24"/>
        </w:rPr>
        <w:t xml:space="preserve"> No podemos en este momento olvidar </w:t>
      </w:r>
      <w:r>
        <w:rPr>
          <w:rFonts w:ascii="Calibri" w:hAnsi="Calibri" w:cs="Calibri"/>
          <w:sz w:val="24"/>
          <w:szCs w:val="24"/>
        </w:rPr>
        <w:t xml:space="preserve">un factor que, desde el primer día de su mandato, ha condicionado sobremanera el trabajo de este Consejo: la crisis económica que desde septiembre de 2008 ha sacudido en distintas fases las economías occidentales, </w:t>
      </w:r>
      <w:r w:rsidRPr="00266E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con especial incidencia en aquellas peor articuladas, como la española. La recesión ha sometido a una brutal convulsión las relaciones económico-financieras nacionales, a lo que hay que añadir el efecto de las políticas gubernamentales de recorte del gasto público y reducción presupuestaria. </w:t>
      </w:r>
    </w:p>
    <w:p w:rsidR="00527D49" w:rsidRDefault="00527D49" w:rsidP="00BE22EA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lo que  a la administración de Justicia se refiere, ello se ha traducido en un espectacular aumento de la carga de trabajo de juzgados y tribunales, en particular en </w:t>
      </w:r>
      <w:r>
        <w:rPr>
          <w:rFonts w:ascii="Calibri" w:hAnsi="Calibri" w:cs="Calibri"/>
          <w:sz w:val="24"/>
          <w:szCs w:val="24"/>
        </w:rPr>
        <w:lastRenderedPageBreak/>
        <w:t xml:space="preserve">jurisdicciones como Civil y Social, junto a una perceptible reducción de los medios materiales y humanos puestos a su disposición por las distintas administraciones públicas con competencias en la materia. El descomunal aumento de la carga de trabajo que la crisis económica ha provocado a la administración de Justicia tiene, además de una lectura cuantitativa, una vertiente cualitativa también de incidencia negativa. </w:t>
      </w:r>
      <w:r w:rsidR="00B06B4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527D49" w:rsidRDefault="00527D49" w:rsidP="009F58FD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Este quinquenio </w:t>
      </w:r>
      <w:r w:rsidRPr="00266E8C">
        <w:rPr>
          <w:rFonts w:ascii="Calibri" w:hAnsi="Calibri" w:cs="Calibri"/>
          <w:sz w:val="24"/>
          <w:szCs w:val="24"/>
        </w:rPr>
        <w:t>se ha caracterizado</w:t>
      </w:r>
      <w:r>
        <w:rPr>
          <w:rFonts w:ascii="Calibri" w:hAnsi="Calibri" w:cs="Calibri"/>
          <w:sz w:val="24"/>
          <w:szCs w:val="24"/>
        </w:rPr>
        <w:t xml:space="preserve"> también </w:t>
      </w:r>
      <w:r w:rsidRPr="00266E8C">
        <w:rPr>
          <w:rFonts w:ascii="Calibri" w:hAnsi="Calibri" w:cs="Calibri"/>
          <w:sz w:val="24"/>
          <w:szCs w:val="24"/>
        </w:rPr>
        <w:t xml:space="preserve">por la adopción de numerosos y profundos cambios legislativos que han </w:t>
      </w:r>
      <w:r w:rsidR="00BE22EA">
        <w:rPr>
          <w:rFonts w:ascii="Calibri" w:hAnsi="Calibri" w:cs="Calibri"/>
          <w:sz w:val="24"/>
          <w:szCs w:val="24"/>
        </w:rPr>
        <w:t>afectado a</w:t>
      </w:r>
      <w:r w:rsidRPr="00266E8C">
        <w:rPr>
          <w:rFonts w:ascii="Calibri" w:hAnsi="Calibri" w:cs="Calibri"/>
          <w:sz w:val="24"/>
          <w:szCs w:val="24"/>
        </w:rPr>
        <w:t>l ejercicio de la función jurisdiccional</w:t>
      </w:r>
      <w:r>
        <w:rPr>
          <w:rFonts w:ascii="Calibri" w:hAnsi="Calibri" w:cs="Calibri"/>
          <w:sz w:val="24"/>
          <w:szCs w:val="24"/>
        </w:rPr>
        <w:t>. Entre los más destacados, la reciente reforma de la</w:t>
      </w:r>
      <w:r w:rsidRPr="00266E8C">
        <w:rPr>
          <w:rFonts w:ascii="Calibri" w:hAnsi="Calibri" w:cs="Calibri"/>
          <w:sz w:val="24"/>
          <w:szCs w:val="24"/>
        </w:rPr>
        <w:t xml:space="preserve"> Ley Orgánica del Poder Judicial, </w:t>
      </w:r>
      <w:r>
        <w:rPr>
          <w:rFonts w:ascii="Calibri" w:hAnsi="Calibri" w:cs="Calibri"/>
          <w:sz w:val="24"/>
          <w:szCs w:val="24"/>
        </w:rPr>
        <w:t xml:space="preserve">el nuevo </w:t>
      </w:r>
      <w:r w:rsidRPr="00266E8C">
        <w:rPr>
          <w:rFonts w:ascii="Calibri" w:hAnsi="Calibri" w:cs="Calibri"/>
          <w:sz w:val="24"/>
          <w:szCs w:val="24"/>
        </w:rPr>
        <w:t xml:space="preserve">Código Penal, </w:t>
      </w:r>
      <w:r>
        <w:rPr>
          <w:rFonts w:ascii="Calibri" w:hAnsi="Calibri" w:cs="Calibri"/>
          <w:sz w:val="24"/>
          <w:szCs w:val="24"/>
        </w:rPr>
        <w:t xml:space="preserve">la </w:t>
      </w:r>
      <w:r w:rsidRPr="00266E8C">
        <w:rPr>
          <w:rFonts w:ascii="Calibri" w:hAnsi="Calibri" w:cs="Calibri"/>
          <w:sz w:val="24"/>
          <w:szCs w:val="24"/>
        </w:rPr>
        <w:t>modificación de las distintas leyes procesales,</w:t>
      </w:r>
      <w:r>
        <w:rPr>
          <w:rFonts w:ascii="Calibri" w:hAnsi="Calibri" w:cs="Calibri"/>
          <w:sz w:val="24"/>
          <w:szCs w:val="24"/>
        </w:rPr>
        <w:t xml:space="preserve"> el </w:t>
      </w:r>
      <w:r w:rsidRPr="00266E8C">
        <w:rPr>
          <w:rFonts w:ascii="Calibri" w:hAnsi="Calibri" w:cs="Calibri"/>
          <w:sz w:val="24"/>
          <w:szCs w:val="24"/>
        </w:rPr>
        <w:t xml:space="preserve">uso de las nuevas tecnologías en la administración de </w:t>
      </w:r>
      <w:r>
        <w:rPr>
          <w:rFonts w:ascii="Calibri" w:hAnsi="Calibri" w:cs="Calibri"/>
          <w:sz w:val="24"/>
          <w:szCs w:val="24"/>
        </w:rPr>
        <w:t>J</w:t>
      </w:r>
      <w:r w:rsidRPr="00266E8C">
        <w:rPr>
          <w:rFonts w:ascii="Calibri" w:hAnsi="Calibri" w:cs="Calibri"/>
          <w:sz w:val="24"/>
          <w:szCs w:val="24"/>
        </w:rPr>
        <w:t xml:space="preserve">usticia o </w:t>
      </w:r>
      <w:r>
        <w:rPr>
          <w:rFonts w:ascii="Calibri" w:hAnsi="Calibri" w:cs="Calibri"/>
          <w:sz w:val="24"/>
          <w:szCs w:val="24"/>
        </w:rPr>
        <w:t xml:space="preserve">la </w:t>
      </w:r>
      <w:r w:rsidRPr="00266E8C">
        <w:rPr>
          <w:rFonts w:ascii="Calibri" w:hAnsi="Calibri" w:cs="Calibri"/>
          <w:sz w:val="24"/>
          <w:szCs w:val="24"/>
        </w:rPr>
        <w:t xml:space="preserve">implantación de determinadas tasas </w:t>
      </w:r>
      <w:r>
        <w:rPr>
          <w:rFonts w:ascii="Calibri" w:hAnsi="Calibri" w:cs="Calibri"/>
          <w:sz w:val="24"/>
          <w:szCs w:val="24"/>
        </w:rPr>
        <w:t>j</w:t>
      </w:r>
      <w:r w:rsidRPr="00266E8C">
        <w:rPr>
          <w:rFonts w:ascii="Calibri" w:hAnsi="Calibri" w:cs="Calibri"/>
          <w:sz w:val="24"/>
          <w:szCs w:val="24"/>
        </w:rPr>
        <w:t xml:space="preserve">udiciales, materias todas ellas de indudable calado y sobre las que ha tenido que informar el Consejo en cumplimento de su función consultiva. </w:t>
      </w:r>
    </w:p>
    <w:p w:rsidR="00527D49" w:rsidRDefault="00BE22EA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 valor cualitativo de esos informes debe ser destacado. Es cierto que </w:t>
      </w:r>
      <w:r w:rsidR="00527D49">
        <w:rPr>
          <w:rFonts w:ascii="Calibri" w:hAnsi="Calibri" w:cs="Calibri"/>
          <w:sz w:val="24"/>
          <w:szCs w:val="24"/>
        </w:rPr>
        <w:t xml:space="preserve">la labor consultiva y de análisis jurídico del Consejo versa </w:t>
      </w:r>
      <w:r w:rsidR="00527D49" w:rsidRPr="00F01517">
        <w:rPr>
          <w:rFonts w:ascii="Calibri" w:hAnsi="Calibri" w:cs="Calibri"/>
          <w:sz w:val="24"/>
          <w:szCs w:val="24"/>
        </w:rPr>
        <w:t>sobre textos de diversa magnitud cuyo contenido no presenta un nivel de relevancia homogéneo</w:t>
      </w:r>
      <w:r w:rsidR="00527D49">
        <w:rPr>
          <w:rFonts w:ascii="Calibri" w:hAnsi="Calibri" w:cs="Calibri"/>
          <w:sz w:val="24"/>
          <w:szCs w:val="24"/>
        </w:rPr>
        <w:t xml:space="preserve">, pero en todos los casos ha intentado este órgano alertar a los otros poderes del Estado, desde el más escrupuloso respeto institucional, de aquellos puntos o aspectos que pudieran entrar en fricción con el entramado jurídico diseñado por la Constitución en defensa de </w:t>
      </w:r>
      <w:r w:rsidR="00514301">
        <w:rPr>
          <w:rFonts w:ascii="Calibri" w:hAnsi="Calibri" w:cs="Calibri"/>
          <w:sz w:val="24"/>
          <w:szCs w:val="24"/>
        </w:rPr>
        <w:t>los derechos de los ciudadanos, y es de justicia reconocer que en muchos ocasiones han sido atendidas por el Ejecutivo o Legislativo.</w:t>
      </w:r>
    </w:p>
    <w:p w:rsidR="00527D49" w:rsidRDefault="00514301" w:rsidP="00B43A40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Sin embargo en otras ocasiones, </w:t>
      </w:r>
      <w:r w:rsidR="00527D49">
        <w:rPr>
          <w:rFonts w:ascii="Calibri" w:hAnsi="Calibri" w:cs="Calibri"/>
          <w:sz w:val="24"/>
          <w:szCs w:val="24"/>
        </w:rPr>
        <w:t xml:space="preserve"> las</w:t>
      </w:r>
      <w:r w:rsidR="00B06B42">
        <w:rPr>
          <w:rFonts w:ascii="Calibri" w:hAnsi="Calibri" w:cs="Calibri"/>
          <w:sz w:val="24"/>
          <w:szCs w:val="24"/>
        </w:rPr>
        <w:t xml:space="preserve"> críticas y </w:t>
      </w:r>
      <w:r w:rsidR="00527D49">
        <w:rPr>
          <w:rFonts w:ascii="Calibri" w:hAnsi="Calibri" w:cs="Calibri"/>
          <w:sz w:val="24"/>
          <w:szCs w:val="24"/>
        </w:rPr>
        <w:t xml:space="preserve"> dudas de constitucionalidad puestas sobre la mesa tras analizar proyectos de ley como las recientes reformas del Código Penal y de la </w:t>
      </w:r>
      <w:r w:rsidR="00B06B42">
        <w:rPr>
          <w:rFonts w:ascii="Calibri" w:hAnsi="Calibri" w:cs="Calibri"/>
          <w:sz w:val="24"/>
          <w:szCs w:val="24"/>
        </w:rPr>
        <w:t>Ley Orgánica del Poder Judicial o la controvertida ley de tasas</w:t>
      </w:r>
      <w:r w:rsidR="00772731">
        <w:rPr>
          <w:rFonts w:ascii="Calibri" w:hAnsi="Calibri" w:cs="Calibri"/>
          <w:sz w:val="24"/>
          <w:szCs w:val="24"/>
        </w:rPr>
        <w:t xml:space="preserve"> </w:t>
      </w:r>
      <w:r w:rsidR="00222E09">
        <w:rPr>
          <w:rFonts w:ascii="Calibri" w:hAnsi="Calibri" w:cs="Calibri"/>
          <w:sz w:val="24"/>
          <w:szCs w:val="24"/>
        </w:rPr>
        <w:t xml:space="preserve"> no todas </w:t>
      </w:r>
      <w:r w:rsidR="00B43A40">
        <w:rPr>
          <w:rFonts w:ascii="Calibri" w:hAnsi="Calibri" w:cs="Calibri"/>
          <w:sz w:val="24"/>
          <w:szCs w:val="24"/>
        </w:rPr>
        <w:t xml:space="preserve"> fueron atendidas.</w:t>
      </w:r>
    </w:p>
    <w:p w:rsidR="00527D49" w:rsidRPr="00266E8C" w:rsidRDefault="00527D49" w:rsidP="00527D4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Han sido cinco años de una intensidad y complejidad abrumadora. Por eso, </w:t>
      </w:r>
      <w:r w:rsidRPr="00266E8C">
        <w:rPr>
          <w:rFonts w:ascii="Calibri" w:hAnsi="Calibri" w:cs="Calibri"/>
          <w:sz w:val="24"/>
          <w:szCs w:val="24"/>
        </w:rPr>
        <w:t xml:space="preserve">el esfuerzo </w:t>
      </w:r>
      <w:r>
        <w:rPr>
          <w:rFonts w:ascii="Calibri" w:hAnsi="Calibri" w:cs="Calibri"/>
          <w:sz w:val="24"/>
          <w:szCs w:val="24"/>
        </w:rPr>
        <w:t xml:space="preserve">realizado por este Consejo </w:t>
      </w:r>
      <w:r w:rsidRPr="00266E8C">
        <w:rPr>
          <w:rFonts w:ascii="Calibri" w:hAnsi="Calibri" w:cs="Calibri"/>
          <w:sz w:val="24"/>
          <w:szCs w:val="24"/>
        </w:rPr>
        <w:t xml:space="preserve">General del Poder Judicial para alcanzar una mejora efectiva de </w:t>
      </w:r>
      <w:r>
        <w:rPr>
          <w:rFonts w:ascii="Calibri" w:hAnsi="Calibri" w:cs="Calibri"/>
          <w:sz w:val="24"/>
          <w:szCs w:val="24"/>
        </w:rPr>
        <w:t xml:space="preserve">la </w:t>
      </w:r>
      <w:r w:rsidRPr="00266E8C">
        <w:rPr>
          <w:rFonts w:ascii="Calibri" w:hAnsi="Calibri" w:cs="Calibri"/>
          <w:sz w:val="24"/>
          <w:szCs w:val="24"/>
        </w:rPr>
        <w:t xml:space="preserve">administración de </w:t>
      </w:r>
      <w:r>
        <w:rPr>
          <w:rFonts w:ascii="Calibri" w:hAnsi="Calibri" w:cs="Calibri"/>
          <w:sz w:val="24"/>
          <w:szCs w:val="24"/>
        </w:rPr>
        <w:t>J</w:t>
      </w:r>
      <w:r w:rsidRPr="00266E8C">
        <w:rPr>
          <w:rFonts w:ascii="Calibri" w:hAnsi="Calibri" w:cs="Calibri"/>
          <w:sz w:val="24"/>
          <w:szCs w:val="24"/>
        </w:rPr>
        <w:t>usticia ha sido notable y</w:t>
      </w:r>
      <w:r w:rsidR="00B06B42">
        <w:rPr>
          <w:rFonts w:ascii="Calibri" w:hAnsi="Calibri" w:cs="Calibri"/>
          <w:sz w:val="24"/>
          <w:szCs w:val="24"/>
        </w:rPr>
        <w:t xml:space="preserve"> sostenido en el tiempo, aunque el resultado no ha sido  plenamente satisfactorio, pues concluimos nuestro mandato sin haber visto culminado el proceso de cambio y modernización de la justicia española, aunque las reformas anunciadas indican que el camino se ha iniciado. Solo cabe esperar y desear que estas reformas se aborden desde un Pacto de Estado y no desde la confrontación política, pues la just</w:t>
      </w:r>
      <w:r w:rsidR="009F58FD">
        <w:rPr>
          <w:rFonts w:ascii="Calibri" w:hAnsi="Calibri" w:cs="Calibri"/>
          <w:sz w:val="24"/>
          <w:szCs w:val="24"/>
        </w:rPr>
        <w:t>icia ha de ser en cual</w:t>
      </w:r>
      <w:r w:rsidR="00B06B42">
        <w:rPr>
          <w:rFonts w:ascii="Calibri" w:hAnsi="Calibri" w:cs="Calibri"/>
          <w:sz w:val="24"/>
          <w:szCs w:val="24"/>
        </w:rPr>
        <w:t>quier democracia que se considere avanzada ante todo una prioridad y</w:t>
      </w:r>
      <w:r w:rsidR="00BE22EA">
        <w:rPr>
          <w:rFonts w:ascii="Calibri" w:hAnsi="Calibri" w:cs="Calibri"/>
          <w:sz w:val="24"/>
          <w:szCs w:val="24"/>
        </w:rPr>
        <w:t>,</w:t>
      </w:r>
      <w:r w:rsidR="00B06B42">
        <w:rPr>
          <w:rFonts w:ascii="Calibri" w:hAnsi="Calibri" w:cs="Calibri"/>
          <w:sz w:val="24"/>
          <w:szCs w:val="24"/>
        </w:rPr>
        <w:t xml:space="preserve"> por encima de todo</w:t>
      </w:r>
      <w:r w:rsidR="00BE22EA">
        <w:rPr>
          <w:rFonts w:ascii="Calibri" w:hAnsi="Calibri" w:cs="Calibri"/>
          <w:sz w:val="24"/>
          <w:szCs w:val="24"/>
        </w:rPr>
        <w:t xml:space="preserve">, </w:t>
      </w:r>
      <w:r w:rsidR="00B06B42">
        <w:rPr>
          <w:rFonts w:ascii="Calibri" w:hAnsi="Calibri" w:cs="Calibri"/>
          <w:sz w:val="24"/>
          <w:szCs w:val="24"/>
        </w:rPr>
        <w:t>una cuestión de Estado.</w:t>
      </w:r>
    </w:p>
    <w:p w:rsidR="00527D49" w:rsidRDefault="00527D49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Esa ha sido la meta que desde el primer día quiso alcanzar este Consejo, </w:t>
      </w:r>
      <w:r w:rsidRPr="0091688E">
        <w:rPr>
          <w:rFonts w:ascii="Calibri" w:hAnsi="Calibri" w:cs="Calibri"/>
          <w:sz w:val="24"/>
          <w:szCs w:val="24"/>
        </w:rPr>
        <w:t xml:space="preserve">acercar la Justicia al ciudadano, hacerla más accesible y próxima, </w:t>
      </w:r>
      <w:r>
        <w:rPr>
          <w:rFonts w:ascii="Calibri" w:hAnsi="Calibri" w:cs="Calibri"/>
          <w:sz w:val="24"/>
          <w:szCs w:val="24"/>
        </w:rPr>
        <w:t>conectar el</w:t>
      </w:r>
      <w:r w:rsidRPr="0091688E">
        <w:rPr>
          <w:rFonts w:ascii="Calibri" w:hAnsi="Calibri" w:cs="Calibri"/>
          <w:sz w:val="24"/>
          <w:szCs w:val="24"/>
        </w:rPr>
        <w:t xml:space="preserve"> servicio público </w:t>
      </w:r>
      <w:r>
        <w:rPr>
          <w:rFonts w:ascii="Calibri" w:hAnsi="Calibri" w:cs="Calibri"/>
          <w:sz w:val="24"/>
          <w:szCs w:val="24"/>
        </w:rPr>
        <w:t xml:space="preserve">de la Justicia </w:t>
      </w:r>
      <w:r w:rsidRPr="0091688E">
        <w:rPr>
          <w:rFonts w:ascii="Calibri" w:hAnsi="Calibri" w:cs="Calibri"/>
          <w:sz w:val="24"/>
          <w:szCs w:val="24"/>
        </w:rPr>
        <w:t>con la sociedad española del siglo XXI.</w:t>
      </w:r>
      <w:r>
        <w:rPr>
          <w:rFonts w:ascii="Calibri" w:hAnsi="Calibri" w:cs="Calibri"/>
          <w:sz w:val="24"/>
          <w:szCs w:val="24"/>
        </w:rPr>
        <w:t xml:space="preserve"> Es un anhelo que nace de </w:t>
      </w:r>
      <w:r>
        <w:rPr>
          <w:rFonts w:ascii="Calibri" w:hAnsi="Calibri" w:cs="Calibri"/>
          <w:sz w:val="24"/>
          <w:szCs w:val="24"/>
        </w:rPr>
        <w:lastRenderedPageBreak/>
        <w:t>los</w:t>
      </w:r>
      <w:r w:rsidRPr="00D411BB">
        <w:rPr>
          <w:rFonts w:ascii="Calibri" w:hAnsi="Calibri" w:cs="Calibri"/>
          <w:sz w:val="24"/>
          <w:szCs w:val="24"/>
        </w:rPr>
        <w:t xml:space="preserve"> parámetros de la Carta de Derechos de los Ciudadanos ante la Justicia</w:t>
      </w:r>
      <w:r>
        <w:rPr>
          <w:rFonts w:ascii="Calibri" w:hAnsi="Calibri" w:cs="Calibri"/>
          <w:sz w:val="24"/>
          <w:szCs w:val="24"/>
        </w:rPr>
        <w:t xml:space="preserve"> y </w:t>
      </w:r>
      <w:r w:rsidRPr="00D411BB">
        <w:rPr>
          <w:rFonts w:ascii="Calibri" w:hAnsi="Calibri" w:cs="Calibri"/>
          <w:sz w:val="24"/>
          <w:szCs w:val="24"/>
        </w:rPr>
        <w:t xml:space="preserve">cuya finalidad es conseguir una estructura judicial moderna y abierta a los ciudadanos, basada en los principios de transparencia, información y atención. </w:t>
      </w:r>
    </w:p>
    <w:p w:rsidR="00B43A40" w:rsidRDefault="00B43A40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Madrid a 27 de noviembre de 2013</w:t>
      </w:r>
    </w:p>
    <w:p w:rsidR="00B43A40" w:rsidRDefault="00B43A40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:rsidR="00B43A40" w:rsidRDefault="00B43A40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:rsidR="00B43A40" w:rsidRDefault="00B43A40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:rsidR="00B43A40" w:rsidRDefault="00B43A40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Fdo. Gabriela Bravo Sanestanislao</w:t>
      </w:r>
    </w:p>
    <w:p w:rsidR="00B43A40" w:rsidRDefault="00B43A40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:rsidR="00B43A40" w:rsidRDefault="00B43A40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:rsidR="00B43A40" w:rsidRDefault="00B43A40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:rsidR="00B43A40" w:rsidRDefault="00B43A40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:rsidR="00527D49" w:rsidRDefault="00527D49" w:rsidP="00527D49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:rsidR="009B0334" w:rsidRDefault="0076412E"/>
    <w:sectPr w:rsidR="009B0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49"/>
    <w:rsid w:val="000A3356"/>
    <w:rsid w:val="000D604A"/>
    <w:rsid w:val="00122481"/>
    <w:rsid w:val="00222E09"/>
    <w:rsid w:val="00514301"/>
    <w:rsid w:val="00527D49"/>
    <w:rsid w:val="006D2211"/>
    <w:rsid w:val="0076412E"/>
    <w:rsid w:val="00772731"/>
    <w:rsid w:val="009F58FD"/>
    <w:rsid w:val="00A82C58"/>
    <w:rsid w:val="00B06B42"/>
    <w:rsid w:val="00B43A40"/>
    <w:rsid w:val="00BE22EA"/>
    <w:rsid w:val="00EB0DE0"/>
    <w:rsid w:val="00F1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49"/>
    <w:rPr>
      <w:color w:val="17365D" w:themeColor="text2" w:themeShade="BF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A40"/>
    <w:rPr>
      <w:rFonts w:ascii="Tahoma" w:hAnsi="Tahoma" w:cs="Tahoma"/>
      <w:color w:val="17365D" w:themeColor="text2" w:themeShade="BF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49"/>
    <w:rPr>
      <w:color w:val="17365D" w:themeColor="text2" w:themeShade="BF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A40"/>
    <w:rPr>
      <w:rFonts w:ascii="Tahoma" w:hAnsi="Tahoma" w:cs="Tahoma"/>
      <w:color w:val="17365D" w:themeColor="text2" w:themeShade="BF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cgpj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Bravo Sanestanislao</dc:creator>
  <cp:lastModifiedBy>Agustín Zurita Pinilla</cp:lastModifiedBy>
  <cp:revision>4</cp:revision>
  <cp:lastPrinted>2013-11-27T13:29:00Z</cp:lastPrinted>
  <dcterms:created xsi:type="dcterms:W3CDTF">2013-11-27T13:32:00Z</dcterms:created>
  <dcterms:modified xsi:type="dcterms:W3CDTF">2013-11-27T13:40:00Z</dcterms:modified>
</cp:coreProperties>
</file>