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6D" w:rsidRPr="007A1BBA" w:rsidRDefault="00773C6D" w:rsidP="003C07B4">
      <w:pPr>
        <w:spacing w:before="240" w:after="120" w:line="276" w:lineRule="auto"/>
        <w:jc w:val="both"/>
        <w:rPr>
          <w:rFonts w:ascii="Calibri" w:hAnsi="Calibri"/>
          <w:sz w:val="22"/>
        </w:rPr>
      </w:pPr>
    </w:p>
    <w:p w:rsidR="00D213AF" w:rsidRPr="007A1BBA" w:rsidRDefault="00D213AF" w:rsidP="003C07B4">
      <w:pPr>
        <w:spacing w:before="240" w:after="120" w:line="276" w:lineRule="auto"/>
        <w:jc w:val="both"/>
        <w:rPr>
          <w:rFonts w:ascii="Calibri" w:hAnsi="Calibri"/>
          <w:sz w:val="22"/>
        </w:rPr>
      </w:pPr>
    </w:p>
    <w:p w:rsidR="007A1BBA" w:rsidRDefault="007A1BBA" w:rsidP="007A1BBA">
      <w:pPr>
        <w:spacing w:before="240" w:after="120" w:line="276" w:lineRule="auto"/>
        <w:jc w:val="center"/>
        <w:rPr>
          <w:rFonts w:ascii="Calibri" w:hAnsi="Calibri" w:cs="Arial"/>
          <w:b/>
          <w:spacing w:val="-3"/>
          <w:sz w:val="32"/>
          <w:szCs w:val="32"/>
        </w:rPr>
      </w:pPr>
    </w:p>
    <w:p w:rsidR="007A1BBA" w:rsidRDefault="007A1BBA" w:rsidP="007A1BBA">
      <w:pPr>
        <w:spacing w:before="240" w:after="120" w:line="276" w:lineRule="auto"/>
        <w:jc w:val="center"/>
        <w:rPr>
          <w:rFonts w:ascii="Calibri" w:hAnsi="Calibri" w:cs="Arial"/>
          <w:b/>
          <w:spacing w:val="-3"/>
          <w:sz w:val="32"/>
          <w:szCs w:val="32"/>
        </w:rPr>
      </w:pPr>
    </w:p>
    <w:p w:rsidR="00D213AF" w:rsidRPr="00BD72C2" w:rsidRDefault="007A1BBA" w:rsidP="007A1BBA">
      <w:pPr>
        <w:spacing w:before="240" w:after="120" w:line="276" w:lineRule="auto"/>
        <w:jc w:val="center"/>
        <w:rPr>
          <w:rFonts w:ascii="Calibri" w:hAnsi="Calibri" w:cs="Arial"/>
          <w:b/>
          <w:spacing w:val="-3"/>
          <w:sz w:val="36"/>
          <w:szCs w:val="36"/>
        </w:rPr>
      </w:pPr>
      <w:r w:rsidRPr="00BD72C2">
        <w:rPr>
          <w:rFonts w:ascii="Calibri" w:hAnsi="Calibri" w:cs="Arial"/>
          <w:b/>
          <w:spacing w:val="-3"/>
          <w:sz w:val="36"/>
          <w:szCs w:val="36"/>
        </w:rPr>
        <w:t>`</w:t>
      </w:r>
      <w:r w:rsidR="00D213AF" w:rsidRPr="00BD72C2">
        <w:rPr>
          <w:rFonts w:ascii="Calibri" w:hAnsi="Calibri" w:cs="Arial"/>
          <w:b/>
          <w:spacing w:val="-3"/>
          <w:sz w:val="36"/>
          <w:szCs w:val="36"/>
        </w:rPr>
        <w:t xml:space="preserve">Situación actual de la Administración de Justicia </w:t>
      </w:r>
      <w:r w:rsidRPr="00BD72C2">
        <w:rPr>
          <w:rFonts w:ascii="Calibri" w:hAnsi="Calibri" w:cs="Arial"/>
          <w:b/>
          <w:spacing w:val="-3"/>
          <w:sz w:val="36"/>
          <w:szCs w:val="36"/>
        </w:rPr>
        <w:t xml:space="preserve"> </w:t>
      </w:r>
      <w:r w:rsidR="00D213AF" w:rsidRPr="00BD72C2">
        <w:rPr>
          <w:rFonts w:ascii="Calibri" w:hAnsi="Calibri" w:cs="Arial"/>
          <w:b/>
          <w:spacing w:val="-3"/>
          <w:sz w:val="36"/>
          <w:szCs w:val="36"/>
        </w:rPr>
        <w:t xml:space="preserve">en España: un análisis </w:t>
      </w:r>
      <w:r w:rsidR="006F6055" w:rsidRPr="00BD72C2">
        <w:rPr>
          <w:rFonts w:ascii="Calibri" w:hAnsi="Calibri" w:cs="Arial"/>
          <w:b/>
          <w:spacing w:val="-3"/>
          <w:sz w:val="36"/>
          <w:szCs w:val="36"/>
        </w:rPr>
        <w:t xml:space="preserve"> </w:t>
      </w:r>
      <w:r w:rsidRPr="00BD72C2">
        <w:rPr>
          <w:rFonts w:ascii="Calibri" w:hAnsi="Calibri" w:cs="Arial"/>
          <w:b/>
          <w:spacing w:val="-3"/>
          <w:sz w:val="36"/>
          <w:szCs w:val="36"/>
        </w:rPr>
        <w:t>desde el Derecho Procesal´</w:t>
      </w:r>
    </w:p>
    <w:p w:rsidR="00FC3672" w:rsidRPr="007A1BBA" w:rsidRDefault="00FC3672" w:rsidP="003C07B4">
      <w:pPr>
        <w:spacing w:before="240" w:after="120" w:line="276" w:lineRule="auto"/>
        <w:jc w:val="center"/>
        <w:rPr>
          <w:rFonts w:ascii="Calibri" w:hAnsi="Calibri" w:cs="Arial"/>
          <w:spacing w:val="-3"/>
          <w:sz w:val="22"/>
        </w:rPr>
      </w:pPr>
    </w:p>
    <w:p w:rsidR="00FC3672" w:rsidRPr="007A1BBA" w:rsidRDefault="00FC3672" w:rsidP="003C07B4">
      <w:pPr>
        <w:spacing w:before="240" w:after="120" w:line="276" w:lineRule="auto"/>
        <w:jc w:val="center"/>
        <w:rPr>
          <w:rFonts w:ascii="Calibri" w:hAnsi="Calibri" w:cs="Arial"/>
          <w:spacing w:val="-3"/>
          <w:sz w:val="22"/>
        </w:rPr>
      </w:pPr>
    </w:p>
    <w:p w:rsidR="00D213AF" w:rsidRPr="007A1BBA" w:rsidRDefault="006E1B6D" w:rsidP="003C07B4">
      <w:pPr>
        <w:spacing w:before="240" w:after="120" w:line="276" w:lineRule="auto"/>
        <w:jc w:val="center"/>
        <w:rPr>
          <w:rFonts w:ascii="Calibri" w:hAnsi="Calibri" w:cs="Arial"/>
          <w:b/>
          <w:spacing w:val="-3"/>
          <w:sz w:val="28"/>
          <w:szCs w:val="28"/>
        </w:rPr>
      </w:pPr>
      <w:r w:rsidRPr="007A1BBA">
        <w:rPr>
          <w:rFonts w:ascii="Calibri" w:hAnsi="Calibri" w:cs="Arial"/>
          <w:b/>
          <w:spacing w:val="-3"/>
          <w:sz w:val="28"/>
          <w:szCs w:val="28"/>
        </w:rPr>
        <w:t>Dossier ejecutivo</w:t>
      </w:r>
      <w:r w:rsidR="009C1547" w:rsidRPr="007A1BBA">
        <w:rPr>
          <w:rFonts w:ascii="Calibri" w:hAnsi="Calibri" w:cs="Arial"/>
          <w:b/>
          <w:spacing w:val="-3"/>
          <w:sz w:val="28"/>
          <w:szCs w:val="28"/>
        </w:rPr>
        <w:t xml:space="preserve"> y conclusiones </w:t>
      </w:r>
      <w:r w:rsidR="00E2036D" w:rsidRPr="007A1BBA">
        <w:rPr>
          <w:rFonts w:ascii="Calibri" w:hAnsi="Calibri" w:cs="Arial"/>
          <w:b/>
          <w:spacing w:val="-3"/>
          <w:sz w:val="28"/>
          <w:szCs w:val="28"/>
        </w:rPr>
        <w:t xml:space="preserve">sobre los </w:t>
      </w:r>
      <w:r w:rsidR="008569C3" w:rsidRPr="007A1BBA">
        <w:rPr>
          <w:rFonts w:ascii="Calibri" w:hAnsi="Calibri" w:cs="Arial"/>
          <w:b/>
          <w:spacing w:val="-3"/>
          <w:sz w:val="28"/>
          <w:szCs w:val="28"/>
        </w:rPr>
        <w:t xml:space="preserve">datos de la estadística judicial </w:t>
      </w:r>
      <w:r w:rsidR="00E25196" w:rsidRPr="007A1BBA">
        <w:rPr>
          <w:rFonts w:ascii="Calibri" w:hAnsi="Calibri" w:cs="Arial"/>
          <w:b/>
          <w:spacing w:val="-3"/>
          <w:sz w:val="28"/>
          <w:szCs w:val="28"/>
        </w:rPr>
        <w:t xml:space="preserve">y </w:t>
      </w:r>
      <w:r w:rsidR="00D57270" w:rsidRPr="007A1BBA">
        <w:rPr>
          <w:rFonts w:ascii="Calibri" w:hAnsi="Calibri" w:cs="Arial"/>
          <w:b/>
          <w:spacing w:val="-3"/>
          <w:sz w:val="28"/>
          <w:szCs w:val="28"/>
        </w:rPr>
        <w:t>el tratamiento de los mismos</w:t>
      </w:r>
      <w:r w:rsidR="008569C3" w:rsidRPr="007A1BBA">
        <w:rPr>
          <w:rFonts w:ascii="Calibri" w:hAnsi="Calibri" w:cs="Arial"/>
          <w:b/>
          <w:spacing w:val="-3"/>
          <w:sz w:val="28"/>
          <w:szCs w:val="28"/>
        </w:rPr>
        <w:t xml:space="preserve"> en la Memoria del Consejo General del Poder Judicial. </w:t>
      </w:r>
    </w:p>
    <w:p w:rsidR="00DB7EF5" w:rsidRDefault="008569C3" w:rsidP="003C07B4">
      <w:pPr>
        <w:spacing w:before="240" w:after="120" w:line="276" w:lineRule="auto"/>
        <w:jc w:val="center"/>
        <w:rPr>
          <w:rFonts w:ascii="Calibri" w:hAnsi="Calibri" w:cs="Arial"/>
          <w:spacing w:val="-3"/>
          <w:sz w:val="22"/>
        </w:rPr>
      </w:pPr>
      <w:r w:rsidRPr="007A1BBA">
        <w:rPr>
          <w:rFonts w:ascii="Calibri" w:hAnsi="Calibri" w:cs="Arial"/>
          <w:spacing w:val="-3"/>
          <w:sz w:val="22"/>
        </w:rPr>
        <w:t>1</w:t>
      </w:r>
      <w:r w:rsidR="006E1B6D" w:rsidRPr="007A1BBA">
        <w:rPr>
          <w:rFonts w:ascii="Calibri" w:hAnsi="Calibri" w:cs="Arial"/>
          <w:spacing w:val="-3"/>
          <w:sz w:val="22"/>
        </w:rPr>
        <w:t>8</w:t>
      </w:r>
      <w:r w:rsidRPr="007A1BBA">
        <w:rPr>
          <w:rFonts w:ascii="Calibri" w:hAnsi="Calibri" w:cs="Arial"/>
          <w:spacing w:val="-3"/>
          <w:sz w:val="22"/>
        </w:rPr>
        <w:t>/0</w:t>
      </w:r>
      <w:r w:rsidR="00D64DBF">
        <w:rPr>
          <w:rFonts w:ascii="Calibri" w:hAnsi="Calibri" w:cs="Arial"/>
          <w:spacing w:val="-3"/>
          <w:sz w:val="22"/>
        </w:rPr>
        <w:t>5</w:t>
      </w:r>
      <w:bookmarkStart w:id="0" w:name="_GoBack"/>
      <w:bookmarkEnd w:id="0"/>
      <w:r w:rsidRPr="007A1BBA">
        <w:rPr>
          <w:rFonts w:ascii="Calibri" w:hAnsi="Calibri" w:cs="Arial"/>
          <w:spacing w:val="-3"/>
          <w:sz w:val="22"/>
        </w:rPr>
        <w:t>/2013</w:t>
      </w:r>
    </w:p>
    <w:p w:rsidR="007A1BBA" w:rsidRDefault="007A1BBA" w:rsidP="003C07B4">
      <w:pPr>
        <w:spacing w:before="240" w:after="120" w:line="276" w:lineRule="auto"/>
        <w:jc w:val="center"/>
        <w:rPr>
          <w:rFonts w:ascii="Calibri" w:hAnsi="Calibri" w:cs="Arial"/>
          <w:spacing w:val="-3"/>
          <w:sz w:val="22"/>
        </w:rPr>
      </w:pPr>
    </w:p>
    <w:p w:rsidR="007A1BBA" w:rsidRDefault="007A1BBA" w:rsidP="003C07B4">
      <w:pPr>
        <w:spacing w:before="240" w:after="120" w:line="276" w:lineRule="auto"/>
        <w:jc w:val="center"/>
        <w:rPr>
          <w:rFonts w:ascii="Calibri" w:hAnsi="Calibri" w:cs="Arial"/>
          <w:spacing w:val="-3"/>
          <w:sz w:val="22"/>
        </w:rPr>
      </w:pPr>
    </w:p>
    <w:p w:rsidR="007A1BBA" w:rsidRDefault="007A1BBA" w:rsidP="003C07B4">
      <w:pPr>
        <w:spacing w:before="240" w:after="120" w:line="276" w:lineRule="auto"/>
        <w:jc w:val="center"/>
        <w:rPr>
          <w:rFonts w:ascii="Calibri" w:hAnsi="Calibri" w:cs="Arial"/>
          <w:spacing w:val="-3"/>
          <w:sz w:val="22"/>
        </w:rPr>
      </w:pPr>
    </w:p>
    <w:p w:rsidR="007A1BBA" w:rsidRDefault="007A1BBA" w:rsidP="003C07B4">
      <w:pPr>
        <w:spacing w:before="240" w:after="120" w:line="276" w:lineRule="auto"/>
        <w:jc w:val="center"/>
        <w:rPr>
          <w:rFonts w:ascii="Calibri" w:hAnsi="Calibri" w:cs="Arial"/>
          <w:spacing w:val="-3"/>
          <w:sz w:val="22"/>
        </w:rPr>
      </w:pPr>
    </w:p>
    <w:p w:rsidR="007A1BBA" w:rsidRDefault="007A1BBA" w:rsidP="003C07B4">
      <w:pPr>
        <w:spacing w:before="240" w:after="120" w:line="276" w:lineRule="auto"/>
        <w:jc w:val="center"/>
        <w:rPr>
          <w:rFonts w:ascii="Calibri" w:hAnsi="Calibri" w:cs="Arial"/>
          <w:spacing w:val="-3"/>
          <w:sz w:val="22"/>
        </w:rPr>
      </w:pPr>
    </w:p>
    <w:p w:rsidR="007A1BBA" w:rsidRDefault="007A1BBA" w:rsidP="003C07B4">
      <w:pPr>
        <w:spacing w:before="240" w:after="120" w:line="276" w:lineRule="auto"/>
        <w:jc w:val="center"/>
        <w:rPr>
          <w:rFonts w:ascii="Calibri" w:hAnsi="Calibri" w:cs="Arial"/>
          <w:spacing w:val="-3"/>
          <w:sz w:val="22"/>
        </w:rPr>
      </w:pPr>
    </w:p>
    <w:p w:rsidR="007A1BBA" w:rsidRDefault="007A1BBA" w:rsidP="003C07B4">
      <w:pPr>
        <w:spacing w:before="240" w:after="120" w:line="276" w:lineRule="auto"/>
        <w:jc w:val="center"/>
        <w:rPr>
          <w:rFonts w:ascii="Calibri" w:hAnsi="Calibri" w:cs="Arial"/>
          <w:spacing w:val="-3"/>
          <w:sz w:val="22"/>
        </w:rPr>
      </w:pPr>
    </w:p>
    <w:p w:rsidR="007A1BBA" w:rsidRDefault="007A1BBA" w:rsidP="003C07B4">
      <w:pPr>
        <w:spacing w:before="240" w:after="120" w:line="276" w:lineRule="auto"/>
        <w:jc w:val="center"/>
        <w:rPr>
          <w:rFonts w:ascii="Calibri" w:hAnsi="Calibri" w:cs="Arial"/>
          <w:spacing w:val="-3"/>
          <w:sz w:val="22"/>
        </w:rPr>
      </w:pPr>
    </w:p>
    <w:p w:rsidR="007A1BBA" w:rsidRDefault="007A1BBA" w:rsidP="003C07B4">
      <w:pPr>
        <w:spacing w:before="240" w:after="120" w:line="276" w:lineRule="auto"/>
        <w:jc w:val="center"/>
        <w:rPr>
          <w:rFonts w:ascii="Calibri" w:hAnsi="Calibri" w:cs="Arial"/>
          <w:spacing w:val="-3"/>
          <w:sz w:val="22"/>
        </w:rPr>
      </w:pPr>
    </w:p>
    <w:p w:rsidR="007A1BBA" w:rsidRDefault="007A1BBA" w:rsidP="003C07B4">
      <w:pPr>
        <w:spacing w:before="240" w:after="120" w:line="276" w:lineRule="auto"/>
        <w:jc w:val="center"/>
        <w:rPr>
          <w:rFonts w:ascii="Calibri" w:hAnsi="Calibri" w:cs="Arial"/>
          <w:spacing w:val="-3"/>
          <w:sz w:val="22"/>
        </w:rPr>
      </w:pPr>
    </w:p>
    <w:p w:rsidR="007A1BBA" w:rsidRDefault="007A1BBA" w:rsidP="003C07B4">
      <w:pPr>
        <w:spacing w:before="240" w:after="120" w:line="276" w:lineRule="auto"/>
        <w:jc w:val="center"/>
        <w:rPr>
          <w:rFonts w:ascii="Calibri" w:hAnsi="Calibri" w:cs="Arial"/>
          <w:spacing w:val="-3"/>
          <w:sz w:val="22"/>
        </w:rPr>
      </w:pPr>
    </w:p>
    <w:p w:rsidR="007A1BBA" w:rsidRDefault="007A1BBA" w:rsidP="003C07B4">
      <w:pPr>
        <w:spacing w:before="240" w:after="120" w:line="276" w:lineRule="auto"/>
        <w:jc w:val="center"/>
        <w:rPr>
          <w:rFonts w:ascii="Calibri" w:hAnsi="Calibri" w:cs="Arial"/>
          <w:spacing w:val="-3"/>
          <w:sz w:val="22"/>
        </w:rPr>
      </w:pPr>
    </w:p>
    <w:p w:rsidR="007A1BBA" w:rsidRPr="007A1BBA" w:rsidRDefault="007A1BBA" w:rsidP="003C07B4">
      <w:pPr>
        <w:spacing w:before="240" w:after="120" w:line="276" w:lineRule="auto"/>
        <w:jc w:val="center"/>
        <w:rPr>
          <w:rFonts w:ascii="Calibri" w:hAnsi="Calibri" w:cs="Arial"/>
          <w:spacing w:val="-3"/>
          <w:sz w:val="22"/>
        </w:rPr>
      </w:pPr>
    </w:p>
    <w:p w:rsidR="00CD26A5" w:rsidRDefault="00CD26A5">
      <w:pPr>
        <w:spacing w:line="276" w:lineRule="auto"/>
        <w:rPr>
          <w:rFonts w:ascii="Calibri" w:hAnsi="Calibri" w:cs="Arial"/>
          <w:sz w:val="22"/>
        </w:rPr>
      </w:pPr>
    </w:p>
    <w:p w:rsidR="007A1BBA" w:rsidRDefault="007A1BBA">
      <w:pPr>
        <w:spacing w:line="276" w:lineRule="auto"/>
        <w:rPr>
          <w:rFonts w:ascii="Calibri" w:hAnsi="Calibri" w:cs="Arial"/>
          <w:sz w:val="22"/>
        </w:rPr>
      </w:pPr>
    </w:p>
    <w:p w:rsidR="007A1BBA" w:rsidRDefault="007A1BBA">
      <w:pPr>
        <w:spacing w:line="276" w:lineRule="auto"/>
        <w:rPr>
          <w:rFonts w:ascii="Calibri" w:hAnsi="Calibri" w:cs="Arial"/>
          <w:sz w:val="22"/>
        </w:rPr>
      </w:pPr>
    </w:p>
    <w:p w:rsidR="007A1BBA" w:rsidRPr="007A1BBA" w:rsidRDefault="007A1BBA">
      <w:pPr>
        <w:spacing w:line="276" w:lineRule="auto"/>
        <w:rPr>
          <w:rFonts w:ascii="Calibri" w:hAnsi="Calibri" w:cs="Arial"/>
          <w:b/>
          <w:sz w:val="28"/>
          <w:szCs w:val="28"/>
        </w:rPr>
      </w:pPr>
      <w:r w:rsidRPr="007A1BBA">
        <w:rPr>
          <w:rFonts w:ascii="Calibri" w:hAnsi="Calibri" w:cs="Arial"/>
          <w:b/>
          <w:sz w:val="28"/>
          <w:szCs w:val="28"/>
        </w:rPr>
        <w:t>INDICE</w:t>
      </w:r>
    </w:p>
    <w:sdt>
      <w:sdtPr>
        <w:rPr>
          <w:rFonts w:ascii="Calibri" w:eastAsia="Times New Roman" w:hAnsi="Calibri" w:cs="Arial"/>
          <w:bCs w:val="0"/>
          <w:sz w:val="22"/>
          <w:szCs w:val="22"/>
          <w:u w:val="none"/>
          <w:lang w:eastAsia="en-US"/>
        </w:rPr>
        <w:id w:val="1837649187"/>
        <w:docPartObj>
          <w:docPartGallery w:val="Table of Contents"/>
          <w:docPartUnique/>
        </w:docPartObj>
      </w:sdtPr>
      <w:sdtEndPr>
        <w:rPr>
          <w:b/>
        </w:rPr>
      </w:sdtEndPr>
      <w:sdtContent>
        <w:p w:rsidR="00CD26A5" w:rsidRPr="007A1BBA" w:rsidRDefault="00CD26A5">
          <w:pPr>
            <w:pStyle w:val="TtulodeTDC"/>
            <w:rPr>
              <w:rFonts w:ascii="Calibri" w:hAnsi="Calibri" w:cs="Arial"/>
              <w:sz w:val="22"/>
              <w:szCs w:val="22"/>
            </w:rPr>
          </w:pPr>
        </w:p>
        <w:p w:rsidR="00CD26A5" w:rsidRPr="007A1BBA" w:rsidRDefault="00CD26A5" w:rsidP="00CD26A5">
          <w:pPr>
            <w:pStyle w:val="TDC1"/>
            <w:spacing w:before="240" w:after="120"/>
            <w:rPr>
              <w:rFonts w:ascii="Calibri" w:eastAsiaTheme="minorEastAsia" w:hAnsi="Calibri" w:cs="Arial"/>
              <w:b w:val="0"/>
              <w:sz w:val="22"/>
              <w:lang w:eastAsia="es-ES"/>
            </w:rPr>
          </w:pPr>
          <w:r w:rsidRPr="007A1BBA">
            <w:rPr>
              <w:rFonts w:ascii="Calibri" w:hAnsi="Calibri" w:cs="Arial"/>
              <w:sz w:val="22"/>
            </w:rPr>
            <w:fldChar w:fldCharType="begin"/>
          </w:r>
          <w:r w:rsidRPr="007A1BBA">
            <w:rPr>
              <w:rFonts w:ascii="Calibri" w:hAnsi="Calibri" w:cs="Arial"/>
              <w:sz w:val="22"/>
            </w:rPr>
            <w:instrText xml:space="preserve"> TOC \o "1-3" \h \z \u </w:instrText>
          </w:r>
          <w:r w:rsidRPr="007A1BBA">
            <w:rPr>
              <w:rFonts w:ascii="Calibri" w:hAnsi="Calibri" w:cs="Arial"/>
              <w:sz w:val="22"/>
            </w:rPr>
            <w:fldChar w:fldCharType="separate"/>
          </w:r>
          <w:hyperlink w:anchor="_Toc354554997" w:history="1">
            <w:r w:rsidRPr="007A1BBA">
              <w:rPr>
                <w:rStyle w:val="Hipervnculo"/>
                <w:rFonts w:ascii="Calibri" w:hAnsi="Calibri" w:cs="Arial"/>
                <w:sz w:val="22"/>
              </w:rPr>
              <w:t>1) Situación de la estadística judicial y de su tratamiento en la Memoria del Consejo General del Poder Judicial.</w:t>
            </w:r>
            <w:r w:rsidRPr="007A1BBA">
              <w:rPr>
                <w:rFonts w:ascii="Calibri" w:hAnsi="Calibri" w:cs="Arial"/>
                <w:webHidden/>
                <w:sz w:val="22"/>
              </w:rPr>
              <w:tab/>
            </w:r>
            <w:r w:rsidRPr="007A1BBA">
              <w:rPr>
                <w:rFonts w:ascii="Calibri" w:hAnsi="Calibri" w:cs="Arial"/>
                <w:webHidden/>
                <w:sz w:val="22"/>
              </w:rPr>
              <w:fldChar w:fldCharType="begin"/>
            </w:r>
            <w:r w:rsidRPr="007A1BBA">
              <w:rPr>
                <w:rFonts w:ascii="Calibri" w:hAnsi="Calibri" w:cs="Arial"/>
                <w:webHidden/>
                <w:sz w:val="22"/>
              </w:rPr>
              <w:instrText xml:space="preserve"> PAGEREF _Toc354554997 \h </w:instrText>
            </w:r>
            <w:r w:rsidRPr="007A1BBA">
              <w:rPr>
                <w:rFonts w:ascii="Calibri" w:hAnsi="Calibri" w:cs="Arial"/>
                <w:webHidden/>
                <w:sz w:val="22"/>
              </w:rPr>
            </w:r>
            <w:r w:rsidRPr="007A1BBA">
              <w:rPr>
                <w:rFonts w:ascii="Calibri" w:hAnsi="Calibri" w:cs="Arial"/>
                <w:webHidden/>
                <w:sz w:val="22"/>
              </w:rPr>
              <w:fldChar w:fldCharType="separate"/>
            </w:r>
            <w:r w:rsidR="005423AC">
              <w:rPr>
                <w:rFonts w:ascii="Calibri" w:hAnsi="Calibri" w:cs="Arial"/>
                <w:webHidden/>
                <w:sz w:val="22"/>
              </w:rPr>
              <w:t>3</w:t>
            </w:r>
            <w:r w:rsidRPr="007A1BBA">
              <w:rPr>
                <w:rFonts w:ascii="Calibri" w:hAnsi="Calibri" w:cs="Arial"/>
                <w:webHidden/>
                <w:sz w:val="22"/>
              </w:rPr>
              <w:fldChar w:fldCharType="end"/>
            </w:r>
          </w:hyperlink>
        </w:p>
        <w:p w:rsidR="00CD26A5" w:rsidRPr="007A1BBA" w:rsidRDefault="00D64DBF" w:rsidP="00CD26A5">
          <w:pPr>
            <w:pStyle w:val="TDC1"/>
            <w:spacing w:before="240" w:after="120"/>
            <w:rPr>
              <w:rFonts w:ascii="Calibri" w:eastAsiaTheme="minorEastAsia" w:hAnsi="Calibri" w:cs="Arial"/>
              <w:b w:val="0"/>
              <w:sz w:val="22"/>
              <w:lang w:eastAsia="es-ES"/>
            </w:rPr>
          </w:pPr>
          <w:hyperlink w:anchor="_Toc354554998" w:history="1">
            <w:r w:rsidR="00CD26A5" w:rsidRPr="007A1BBA">
              <w:rPr>
                <w:rStyle w:val="Hipervnculo"/>
                <w:rFonts w:ascii="Calibri" w:hAnsi="Calibri" w:cs="Arial"/>
                <w:sz w:val="22"/>
              </w:rPr>
              <w:t>2) Anomalías estadísticas en el ámbito del Orden Civil de la Jurisdicción.</w:t>
            </w:r>
            <w:r w:rsidR="00CD26A5" w:rsidRPr="007A1BBA">
              <w:rPr>
                <w:rFonts w:ascii="Calibri" w:hAnsi="Calibri" w:cs="Arial"/>
                <w:webHidden/>
                <w:sz w:val="22"/>
              </w:rPr>
              <w:tab/>
            </w:r>
            <w:r w:rsidR="00CD26A5" w:rsidRPr="007A1BBA">
              <w:rPr>
                <w:rFonts w:ascii="Calibri" w:hAnsi="Calibri" w:cs="Arial"/>
                <w:webHidden/>
                <w:sz w:val="22"/>
              </w:rPr>
              <w:fldChar w:fldCharType="begin"/>
            </w:r>
            <w:r w:rsidR="00CD26A5" w:rsidRPr="007A1BBA">
              <w:rPr>
                <w:rFonts w:ascii="Calibri" w:hAnsi="Calibri" w:cs="Arial"/>
                <w:webHidden/>
                <w:sz w:val="22"/>
              </w:rPr>
              <w:instrText xml:space="preserve"> PAGEREF _Toc354554998 \h </w:instrText>
            </w:r>
            <w:r w:rsidR="00CD26A5" w:rsidRPr="007A1BBA">
              <w:rPr>
                <w:rFonts w:ascii="Calibri" w:hAnsi="Calibri" w:cs="Arial"/>
                <w:webHidden/>
                <w:sz w:val="22"/>
              </w:rPr>
            </w:r>
            <w:r w:rsidR="00CD26A5" w:rsidRPr="007A1BBA">
              <w:rPr>
                <w:rFonts w:ascii="Calibri" w:hAnsi="Calibri" w:cs="Arial"/>
                <w:webHidden/>
                <w:sz w:val="22"/>
              </w:rPr>
              <w:fldChar w:fldCharType="separate"/>
            </w:r>
            <w:r w:rsidR="005423AC">
              <w:rPr>
                <w:rFonts w:ascii="Calibri" w:hAnsi="Calibri" w:cs="Arial"/>
                <w:webHidden/>
                <w:sz w:val="22"/>
              </w:rPr>
              <w:t>3</w:t>
            </w:r>
            <w:r w:rsidR="00CD26A5" w:rsidRPr="007A1BBA">
              <w:rPr>
                <w:rFonts w:ascii="Calibri" w:hAnsi="Calibri" w:cs="Arial"/>
                <w:webHidden/>
                <w:sz w:val="22"/>
              </w:rPr>
              <w:fldChar w:fldCharType="end"/>
            </w:r>
          </w:hyperlink>
        </w:p>
        <w:p w:rsidR="00CD26A5" w:rsidRPr="007A1BBA" w:rsidRDefault="00D64DBF" w:rsidP="00CD26A5">
          <w:pPr>
            <w:pStyle w:val="TDC1"/>
            <w:spacing w:before="240" w:after="120"/>
            <w:rPr>
              <w:rFonts w:ascii="Calibri" w:eastAsiaTheme="minorEastAsia" w:hAnsi="Calibri" w:cs="Arial"/>
              <w:b w:val="0"/>
              <w:sz w:val="22"/>
              <w:lang w:eastAsia="es-ES"/>
            </w:rPr>
          </w:pPr>
          <w:hyperlink w:anchor="_Toc354554999" w:history="1">
            <w:r w:rsidR="00CD26A5" w:rsidRPr="007A1BBA">
              <w:rPr>
                <w:rStyle w:val="Hipervnculo"/>
                <w:rFonts w:ascii="Calibri" w:hAnsi="Calibri" w:cs="Arial"/>
                <w:sz w:val="22"/>
                <w:lang w:eastAsia="es-ES"/>
              </w:rPr>
              <w:t>3) Irregular cómputo de asuntos en el Orden Penal.</w:t>
            </w:r>
            <w:r w:rsidR="00CD26A5" w:rsidRPr="007A1BBA">
              <w:rPr>
                <w:rFonts w:ascii="Calibri" w:hAnsi="Calibri" w:cs="Arial"/>
                <w:webHidden/>
                <w:sz w:val="22"/>
              </w:rPr>
              <w:tab/>
            </w:r>
            <w:r w:rsidR="00CD26A5" w:rsidRPr="007A1BBA">
              <w:rPr>
                <w:rFonts w:ascii="Calibri" w:hAnsi="Calibri" w:cs="Arial"/>
                <w:webHidden/>
                <w:sz w:val="22"/>
              </w:rPr>
              <w:fldChar w:fldCharType="begin"/>
            </w:r>
            <w:r w:rsidR="00CD26A5" w:rsidRPr="007A1BBA">
              <w:rPr>
                <w:rFonts w:ascii="Calibri" w:hAnsi="Calibri" w:cs="Arial"/>
                <w:webHidden/>
                <w:sz w:val="22"/>
              </w:rPr>
              <w:instrText xml:space="preserve"> PAGEREF _Toc354554999 \h </w:instrText>
            </w:r>
            <w:r w:rsidR="00CD26A5" w:rsidRPr="007A1BBA">
              <w:rPr>
                <w:rFonts w:ascii="Calibri" w:hAnsi="Calibri" w:cs="Arial"/>
                <w:webHidden/>
                <w:sz w:val="22"/>
              </w:rPr>
            </w:r>
            <w:r w:rsidR="00CD26A5" w:rsidRPr="007A1BBA">
              <w:rPr>
                <w:rFonts w:ascii="Calibri" w:hAnsi="Calibri" w:cs="Arial"/>
                <w:webHidden/>
                <w:sz w:val="22"/>
              </w:rPr>
              <w:fldChar w:fldCharType="separate"/>
            </w:r>
            <w:r w:rsidR="005423AC">
              <w:rPr>
                <w:rFonts w:ascii="Calibri" w:hAnsi="Calibri" w:cs="Arial"/>
                <w:webHidden/>
                <w:sz w:val="22"/>
              </w:rPr>
              <w:t>6</w:t>
            </w:r>
            <w:r w:rsidR="00CD26A5" w:rsidRPr="007A1BBA">
              <w:rPr>
                <w:rFonts w:ascii="Calibri" w:hAnsi="Calibri" w:cs="Arial"/>
                <w:webHidden/>
                <w:sz w:val="22"/>
              </w:rPr>
              <w:fldChar w:fldCharType="end"/>
            </w:r>
          </w:hyperlink>
        </w:p>
        <w:p w:rsidR="00CD26A5" w:rsidRPr="007A1BBA" w:rsidRDefault="00D64DBF" w:rsidP="00CD26A5">
          <w:pPr>
            <w:pStyle w:val="TDC1"/>
            <w:spacing w:before="240" w:after="120"/>
            <w:rPr>
              <w:rFonts w:ascii="Calibri" w:eastAsiaTheme="minorEastAsia" w:hAnsi="Calibri" w:cs="Arial"/>
              <w:b w:val="0"/>
              <w:sz w:val="22"/>
              <w:lang w:eastAsia="es-ES"/>
            </w:rPr>
          </w:pPr>
          <w:hyperlink w:anchor="_Toc354555000" w:history="1">
            <w:r w:rsidR="00CD26A5" w:rsidRPr="007A1BBA">
              <w:rPr>
                <w:rStyle w:val="Hipervnculo"/>
                <w:rFonts w:ascii="Calibri" w:hAnsi="Calibri" w:cs="Arial"/>
                <w:sz w:val="22"/>
                <w:lang w:eastAsia="es-ES"/>
              </w:rPr>
              <w:t>4) Breve referencia a la situación estadística de los órdenes jurisdiccionales Contencioso-administrativo y Social.</w:t>
            </w:r>
            <w:r w:rsidR="00CD26A5" w:rsidRPr="007A1BBA">
              <w:rPr>
                <w:rFonts w:ascii="Calibri" w:hAnsi="Calibri" w:cs="Arial"/>
                <w:webHidden/>
                <w:sz w:val="22"/>
              </w:rPr>
              <w:tab/>
            </w:r>
            <w:r w:rsidR="00CD26A5" w:rsidRPr="007A1BBA">
              <w:rPr>
                <w:rFonts w:ascii="Calibri" w:hAnsi="Calibri" w:cs="Arial"/>
                <w:webHidden/>
                <w:sz w:val="22"/>
              </w:rPr>
              <w:fldChar w:fldCharType="begin"/>
            </w:r>
            <w:r w:rsidR="00CD26A5" w:rsidRPr="007A1BBA">
              <w:rPr>
                <w:rFonts w:ascii="Calibri" w:hAnsi="Calibri" w:cs="Arial"/>
                <w:webHidden/>
                <w:sz w:val="22"/>
              </w:rPr>
              <w:instrText xml:space="preserve"> PAGEREF _Toc354555000 \h </w:instrText>
            </w:r>
            <w:r w:rsidR="00CD26A5" w:rsidRPr="007A1BBA">
              <w:rPr>
                <w:rFonts w:ascii="Calibri" w:hAnsi="Calibri" w:cs="Arial"/>
                <w:webHidden/>
                <w:sz w:val="22"/>
              </w:rPr>
            </w:r>
            <w:r w:rsidR="00CD26A5" w:rsidRPr="007A1BBA">
              <w:rPr>
                <w:rFonts w:ascii="Calibri" w:hAnsi="Calibri" w:cs="Arial"/>
                <w:webHidden/>
                <w:sz w:val="22"/>
              </w:rPr>
              <w:fldChar w:fldCharType="separate"/>
            </w:r>
            <w:r w:rsidR="005423AC">
              <w:rPr>
                <w:rFonts w:ascii="Calibri" w:hAnsi="Calibri" w:cs="Arial"/>
                <w:webHidden/>
                <w:sz w:val="22"/>
              </w:rPr>
              <w:t>9</w:t>
            </w:r>
            <w:r w:rsidR="00CD26A5" w:rsidRPr="007A1BBA">
              <w:rPr>
                <w:rFonts w:ascii="Calibri" w:hAnsi="Calibri" w:cs="Arial"/>
                <w:webHidden/>
                <w:sz w:val="22"/>
              </w:rPr>
              <w:fldChar w:fldCharType="end"/>
            </w:r>
          </w:hyperlink>
        </w:p>
        <w:p w:rsidR="00CD26A5" w:rsidRPr="007A1BBA" w:rsidRDefault="00D64DBF" w:rsidP="00CD26A5">
          <w:pPr>
            <w:pStyle w:val="TDC1"/>
            <w:spacing w:before="240" w:after="120"/>
            <w:rPr>
              <w:rFonts w:ascii="Calibri" w:eastAsiaTheme="minorEastAsia" w:hAnsi="Calibri" w:cs="Arial"/>
              <w:b w:val="0"/>
              <w:sz w:val="22"/>
              <w:lang w:eastAsia="es-ES"/>
            </w:rPr>
          </w:pPr>
          <w:hyperlink w:anchor="_Toc354555001" w:history="1">
            <w:r w:rsidR="00CD26A5" w:rsidRPr="007A1BBA">
              <w:rPr>
                <w:rStyle w:val="Hipervnculo"/>
                <w:rFonts w:ascii="Calibri" w:hAnsi="Calibri" w:cs="Arial"/>
                <w:sz w:val="22"/>
              </w:rPr>
              <w:t>5) Conclusiones.</w:t>
            </w:r>
            <w:r w:rsidR="00CD26A5" w:rsidRPr="007A1BBA">
              <w:rPr>
                <w:rFonts w:ascii="Calibri" w:hAnsi="Calibri" w:cs="Arial"/>
                <w:webHidden/>
                <w:sz w:val="22"/>
              </w:rPr>
              <w:tab/>
            </w:r>
            <w:r w:rsidR="00CD26A5" w:rsidRPr="007A1BBA">
              <w:rPr>
                <w:rFonts w:ascii="Calibri" w:hAnsi="Calibri" w:cs="Arial"/>
                <w:webHidden/>
                <w:sz w:val="22"/>
              </w:rPr>
              <w:fldChar w:fldCharType="begin"/>
            </w:r>
            <w:r w:rsidR="00CD26A5" w:rsidRPr="007A1BBA">
              <w:rPr>
                <w:rFonts w:ascii="Calibri" w:hAnsi="Calibri" w:cs="Arial"/>
                <w:webHidden/>
                <w:sz w:val="22"/>
              </w:rPr>
              <w:instrText xml:space="preserve"> PAGEREF _Toc354555001 \h </w:instrText>
            </w:r>
            <w:r w:rsidR="00CD26A5" w:rsidRPr="007A1BBA">
              <w:rPr>
                <w:rFonts w:ascii="Calibri" w:hAnsi="Calibri" w:cs="Arial"/>
                <w:webHidden/>
                <w:sz w:val="22"/>
              </w:rPr>
            </w:r>
            <w:r w:rsidR="00CD26A5" w:rsidRPr="007A1BBA">
              <w:rPr>
                <w:rFonts w:ascii="Calibri" w:hAnsi="Calibri" w:cs="Arial"/>
                <w:webHidden/>
                <w:sz w:val="22"/>
              </w:rPr>
              <w:fldChar w:fldCharType="separate"/>
            </w:r>
            <w:r w:rsidR="005423AC">
              <w:rPr>
                <w:rFonts w:ascii="Calibri" w:hAnsi="Calibri" w:cs="Arial"/>
                <w:webHidden/>
                <w:sz w:val="22"/>
              </w:rPr>
              <w:t>9</w:t>
            </w:r>
            <w:r w:rsidR="00CD26A5" w:rsidRPr="007A1BBA">
              <w:rPr>
                <w:rFonts w:ascii="Calibri" w:hAnsi="Calibri" w:cs="Arial"/>
                <w:webHidden/>
                <w:sz w:val="22"/>
              </w:rPr>
              <w:fldChar w:fldCharType="end"/>
            </w:r>
          </w:hyperlink>
        </w:p>
        <w:p w:rsidR="00CD26A5" w:rsidRPr="007A1BBA" w:rsidRDefault="00CD26A5">
          <w:pPr>
            <w:rPr>
              <w:rFonts w:ascii="Calibri" w:hAnsi="Calibri" w:cs="Arial"/>
              <w:sz w:val="22"/>
            </w:rPr>
          </w:pPr>
          <w:r w:rsidRPr="007A1BBA">
            <w:rPr>
              <w:rFonts w:ascii="Calibri" w:hAnsi="Calibri" w:cs="Arial"/>
              <w:b/>
              <w:bCs/>
              <w:sz w:val="22"/>
            </w:rPr>
            <w:fldChar w:fldCharType="end"/>
          </w:r>
        </w:p>
      </w:sdtContent>
    </w:sdt>
    <w:p w:rsidR="007A1BBA" w:rsidRDefault="007A1BBA" w:rsidP="00F86421">
      <w:pPr>
        <w:pStyle w:val="Ttulo1"/>
        <w:spacing w:before="240" w:after="120"/>
        <w:jc w:val="both"/>
        <w:rPr>
          <w:rFonts w:ascii="Calibri" w:hAnsi="Calibri" w:cs="Arial"/>
          <w:b/>
          <w:sz w:val="22"/>
          <w:szCs w:val="22"/>
        </w:rPr>
      </w:pPr>
      <w:bookmarkStart w:id="1" w:name="_Toc354554997"/>
    </w:p>
    <w:p w:rsidR="007A1BBA" w:rsidRDefault="007A1BBA" w:rsidP="00F86421">
      <w:pPr>
        <w:pStyle w:val="Ttulo1"/>
        <w:spacing w:before="240" w:after="120"/>
        <w:jc w:val="both"/>
        <w:rPr>
          <w:rFonts w:ascii="Calibri" w:hAnsi="Calibri" w:cs="Arial"/>
          <w:b/>
          <w:sz w:val="22"/>
          <w:szCs w:val="22"/>
        </w:rPr>
      </w:pPr>
    </w:p>
    <w:p w:rsidR="007A1BBA" w:rsidRDefault="007A1BBA" w:rsidP="00F86421">
      <w:pPr>
        <w:pStyle w:val="Ttulo1"/>
        <w:spacing w:before="240" w:after="120"/>
        <w:jc w:val="both"/>
        <w:rPr>
          <w:rFonts w:ascii="Calibri" w:hAnsi="Calibri" w:cs="Arial"/>
          <w:b/>
          <w:sz w:val="22"/>
          <w:szCs w:val="22"/>
        </w:rPr>
      </w:pPr>
    </w:p>
    <w:p w:rsidR="007A1BBA" w:rsidRDefault="007A1BBA" w:rsidP="007A1BBA"/>
    <w:p w:rsidR="007A1BBA" w:rsidRDefault="007A1BBA" w:rsidP="007A1BBA"/>
    <w:p w:rsidR="007A1BBA" w:rsidRDefault="007A1BBA" w:rsidP="007A1BBA"/>
    <w:p w:rsidR="007A1BBA" w:rsidRDefault="007A1BBA" w:rsidP="007A1BBA"/>
    <w:p w:rsidR="007A1BBA" w:rsidRDefault="007A1BBA" w:rsidP="007A1BBA"/>
    <w:p w:rsidR="007A1BBA" w:rsidRDefault="007A1BBA" w:rsidP="007A1BBA"/>
    <w:p w:rsidR="007A1BBA" w:rsidRDefault="007A1BBA" w:rsidP="007A1BBA"/>
    <w:p w:rsidR="007A1BBA" w:rsidRDefault="007A1BBA" w:rsidP="007A1BBA"/>
    <w:p w:rsidR="007A1BBA" w:rsidRPr="007A1BBA" w:rsidRDefault="007A1BBA" w:rsidP="007A1BBA"/>
    <w:p w:rsidR="000F6B81" w:rsidRPr="007A1BBA" w:rsidRDefault="00F86421" w:rsidP="00F86421">
      <w:pPr>
        <w:pStyle w:val="Ttulo1"/>
        <w:spacing w:before="240" w:after="120"/>
        <w:jc w:val="both"/>
        <w:rPr>
          <w:rFonts w:ascii="Calibri" w:hAnsi="Calibri" w:cs="Arial"/>
          <w:b/>
          <w:sz w:val="24"/>
          <w:szCs w:val="24"/>
          <w:u w:val="none"/>
        </w:rPr>
      </w:pPr>
      <w:r w:rsidRPr="007A1BBA">
        <w:rPr>
          <w:rFonts w:ascii="Calibri" w:hAnsi="Calibri" w:cs="Arial"/>
          <w:b/>
          <w:sz w:val="24"/>
          <w:szCs w:val="24"/>
          <w:u w:val="none"/>
        </w:rPr>
        <w:t>1) Situa</w:t>
      </w:r>
      <w:r w:rsidR="0016028F" w:rsidRPr="007A1BBA">
        <w:rPr>
          <w:rFonts w:ascii="Calibri" w:hAnsi="Calibri" w:cs="Arial"/>
          <w:b/>
          <w:sz w:val="24"/>
          <w:szCs w:val="24"/>
          <w:u w:val="none"/>
        </w:rPr>
        <w:t>ción de la estadística judicial y de su tratamiento en la Memoria del Consejo General del Poder Judicial.</w:t>
      </w:r>
      <w:bookmarkEnd w:id="1"/>
      <w:r w:rsidR="0016028F" w:rsidRPr="007A1BBA">
        <w:rPr>
          <w:rFonts w:ascii="Calibri" w:hAnsi="Calibri" w:cs="Arial"/>
          <w:b/>
          <w:sz w:val="24"/>
          <w:szCs w:val="24"/>
          <w:u w:val="none"/>
        </w:rPr>
        <w:t xml:space="preserve"> </w:t>
      </w:r>
    </w:p>
    <w:p w:rsidR="00A82843" w:rsidRPr="007A1BBA" w:rsidRDefault="00A82843" w:rsidP="00964814">
      <w:pPr>
        <w:spacing w:before="240" w:after="120"/>
        <w:jc w:val="both"/>
        <w:rPr>
          <w:rFonts w:ascii="Calibri" w:hAnsi="Calibri" w:cs="Arial"/>
          <w:sz w:val="22"/>
        </w:rPr>
      </w:pPr>
      <w:r w:rsidRPr="007A1BBA">
        <w:rPr>
          <w:rFonts w:ascii="Calibri" w:hAnsi="Calibri" w:cs="Arial"/>
          <w:sz w:val="22"/>
        </w:rPr>
        <w:t xml:space="preserve">La situación estadística de la </w:t>
      </w:r>
      <w:r w:rsidR="00964814" w:rsidRPr="007A1BBA">
        <w:rPr>
          <w:rFonts w:ascii="Calibri" w:hAnsi="Calibri" w:cs="Arial"/>
          <w:sz w:val="22"/>
        </w:rPr>
        <w:t xml:space="preserve">Jurisdicción </w:t>
      </w:r>
      <w:r w:rsidRPr="007A1BBA">
        <w:rPr>
          <w:rFonts w:ascii="Calibri" w:hAnsi="Calibri" w:cs="Arial"/>
          <w:sz w:val="22"/>
        </w:rPr>
        <w:t xml:space="preserve">adolece de importantes carencias, tanto a nivel de </w:t>
      </w:r>
      <w:r w:rsidRPr="00BD72C2">
        <w:rPr>
          <w:rFonts w:ascii="Calibri" w:hAnsi="Calibri" w:cs="Arial"/>
          <w:b/>
          <w:sz w:val="22"/>
        </w:rPr>
        <w:t>recopilaci</w:t>
      </w:r>
      <w:r w:rsidR="000C0FE7" w:rsidRPr="00BD72C2">
        <w:rPr>
          <w:rFonts w:ascii="Calibri" w:hAnsi="Calibri" w:cs="Arial"/>
          <w:b/>
          <w:sz w:val="22"/>
        </w:rPr>
        <w:t>ón de los datos de la actividad de los órganos jurisdiccionales</w:t>
      </w:r>
      <w:r w:rsidR="000C0FE7" w:rsidRPr="007A1BBA">
        <w:rPr>
          <w:rFonts w:ascii="Calibri" w:hAnsi="Calibri" w:cs="Arial"/>
          <w:sz w:val="22"/>
        </w:rPr>
        <w:t xml:space="preserve"> como, sobre todo, de su </w:t>
      </w:r>
      <w:r w:rsidR="000C0FE7" w:rsidRPr="00BD72C2">
        <w:rPr>
          <w:rFonts w:ascii="Calibri" w:hAnsi="Calibri" w:cs="Arial"/>
          <w:b/>
          <w:sz w:val="22"/>
        </w:rPr>
        <w:t>tratamiento y puesta a disposición en la Memoria del Consejo General del Poder Judicial</w:t>
      </w:r>
      <w:r w:rsidR="000C0FE7" w:rsidRPr="007A1BBA">
        <w:rPr>
          <w:rFonts w:ascii="Calibri" w:hAnsi="Calibri" w:cs="Arial"/>
          <w:sz w:val="22"/>
        </w:rPr>
        <w:t xml:space="preserve"> – con una interpretación de los datos superficial y sesgada – </w:t>
      </w:r>
      <w:r w:rsidR="00D9786B" w:rsidRPr="007A1BBA">
        <w:rPr>
          <w:rFonts w:ascii="Calibri" w:hAnsi="Calibri" w:cs="Arial"/>
          <w:sz w:val="22"/>
        </w:rPr>
        <w:t xml:space="preserve">y en los servicios del propio Consejo General del Poder Judicial. </w:t>
      </w:r>
    </w:p>
    <w:p w:rsidR="00BD031B" w:rsidRPr="007A1BBA" w:rsidRDefault="00F54CE2" w:rsidP="00964814">
      <w:pPr>
        <w:spacing w:before="240" w:after="120"/>
        <w:jc w:val="both"/>
        <w:rPr>
          <w:rFonts w:ascii="Calibri" w:hAnsi="Calibri" w:cs="Arial"/>
          <w:sz w:val="22"/>
        </w:rPr>
      </w:pPr>
      <w:r w:rsidRPr="007A1BBA">
        <w:rPr>
          <w:rFonts w:ascii="Calibri" w:hAnsi="Calibri" w:cs="Arial"/>
          <w:sz w:val="22"/>
        </w:rPr>
        <w:t xml:space="preserve">No se cumple, en absoluto, en el ámbito de la Administración de Justicia española el presupuesto de cualquier institución o entidad </w:t>
      </w:r>
      <w:r w:rsidR="00BD031B" w:rsidRPr="007A1BBA">
        <w:rPr>
          <w:rFonts w:ascii="Calibri" w:hAnsi="Calibri" w:cs="Arial"/>
          <w:sz w:val="22"/>
        </w:rPr>
        <w:t>referente a la existencia de unos datos estadísticos recopilados con claridad y sist</w:t>
      </w:r>
      <w:r w:rsidR="00F86421" w:rsidRPr="007A1BBA">
        <w:rPr>
          <w:rFonts w:ascii="Calibri" w:hAnsi="Calibri" w:cs="Arial"/>
          <w:sz w:val="22"/>
        </w:rPr>
        <w:t xml:space="preserve">ematizados de modo conveniente, para saber en todo momento cuál es la situación real de la Administración de Justicia, cuál es su carga de trabajo y cuál son los puntos deficientes que deben ser tratados, reformados y solventados. </w:t>
      </w:r>
    </w:p>
    <w:p w:rsidR="00F86421" w:rsidRPr="007A1BBA" w:rsidRDefault="00F86421" w:rsidP="00964814">
      <w:pPr>
        <w:spacing w:before="240" w:after="120"/>
        <w:jc w:val="both"/>
        <w:rPr>
          <w:rFonts w:ascii="Calibri" w:hAnsi="Calibri" w:cs="Arial"/>
          <w:sz w:val="22"/>
        </w:rPr>
      </w:pPr>
      <w:r w:rsidRPr="007A1BBA">
        <w:rPr>
          <w:rFonts w:ascii="Calibri" w:hAnsi="Calibri" w:cs="Arial"/>
          <w:sz w:val="22"/>
        </w:rPr>
        <w:t xml:space="preserve">Desde los boletines de información estadística que deben ser completados por los órganos jurisdiccional – que ya desde la base recogen la información de modo erróneo y sesgado – hasta, sobre todo, el tratamiento de la información que se hace por el Consejo General del Poder Judicial – omitiendo el tratamiento de mucha de la información disponible – crean una situación respecto de la que se puede afirmar que el análisis de los datos estadísticos contenido en la Memoria del CGPJ es muy sesgado y no puede ser tomado en consideración para determinar cuál es la situación real de la Administración de Justicia, desde el punto de vista estadístico. </w:t>
      </w:r>
    </w:p>
    <w:p w:rsidR="00FD4179" w:rsidRPr="007A1BBA" w:rsidRDefault="00FD4179" w:rsidP="00964814">
      <w:pPr>
        <w:spacing w:before="240" w:after="120"/>
        <w:jc w:val="both"/>
        <w:rPr>
          <w:rFonts w:ascii="Calibri" w:hAnsi="Calibri" w:cs="Arial"/>
          <w:sz w:val="22"/>
        </w:rPr>
      </w:pPr>
    </w:p>
    <w:p w:rsidR="009C60CA" w:rsidRPr="007A1BBA" w:rsidRDefault="00C304DD" w:rsidP="00964814">
      <w:pPr>
        <w:pStyle w:val="Ttulo1"/>
        <w:spacing w:before="240" w:after="120"/>
        <w:jc w:val="both"/>
        <w:rPr>
          <w:rFonts w:ascii="Calibri" w:hAnsi="Calibri" w:cs="Arial"/>
          <w:b/>
          <w:sz w:val="24"/>
          <w:szCs w:val="24"/>
          <w:u w:val="none"/>
        </w:rPr>
      </w:pPr>
      <w:bookmarkStart w:id="2" w:name="_Toc353566607"/>
      <w:bookmarkStart w:id="3" w:name="_Toc354554998"/>
      <w:r w:rsidRPr="007A1BBA">
        <w:rPr>
          <w:rFonts w:ascii="Calibri" w:hAnsi="Calibri" w:cs="Arial"/>
          <w:b/>
          <w:sz w:val="24"/>
          <w:szCs w:val="24"/>
          <w:u w:val="none"/>
        </w:rPr>
        <w:t>2) Anomalías estadísticas</w:t>
      </w:r>
      <w:r w:rsidR="0016028F" w:rsidRPr="007A1BBA">
        <w:rPr>
          <w:rFonts w:ascii="Calibri" w:hAnsi="Calibri" w:cs="Arial"/>
          <w:b/>
          <w:sz w:val="24"/>
          <w:szCs w:val="24"/>
          <w:u w:val="none"/>
        </w:rPr>
        <w:t xml:space="preserve"> en el ámbito del </w:t>
      </w:r>
      <w:r w:rsidR="00FC3B84" w:rsidRPr="007A1BBA">
        <w:rPr>
          <w:rFonts w:ascii="Calibri" w:hAnsi="Calibri" w:cs="Arial"/>
          <w:b/>
          <w:sz w:val="24"/>
          <w:szCs w:val="24"/>
          <w:u w:val="none"/>
        </w:rPr>
        <w:t>Orden Civil de la Jurisdicción</w:t>
      </w:r>
      <w:r w:rsidR="00F044EF" w:rsidRPr="007A1BBA">
        <w:rPr>
          <w:rFonts w:ascii="Calibri" w:hAnsi="Calibri" w:cs="Arial"/>
          <w:b/>
          <w:sz w:val="24"/>
          <w:szCs w:val="24"/>
          <w:u w:val="none"/>
        </w:rPr>
        <w:t>.</w:t>
      </w:r>
      <w:bookmarkEnd w:id="2"/>
      <w:bookmarkEnd w:id="3"/>
      <w:r w:rsidR="00F044EF" w:rsidRPr="007A1BBA">
        <w:rPr>
          <w:rFonts w:ascii="Calibri" w:hAnsi="Calibri" w:cs="Arial"/>
          <w:b/>
          <w:sz w:val="24"/>
          <w:szCs w:val="24"/>
          <w:u w:val="none"/>
        </w:rPr>
        <w:t xml:space="preserve">  </w:t>
      </w:r>
    </w:p>
    <w:p w:rsidR="00495592" w:rsidRPr="007A1BBA" w:rsidRDefault="00495592" w:rsidP="00964814">
      <w:pPr>
        <w:spacing w:before="240" w:after="120"/>
        <w:jc w:val="both"/>
        <w:rPr>
          <w:rFonts w:ascii="Calibri" w:hAnsi="Calibri" w:cs="Arial"/>
          <w:sz w:val="22"/>
        </w:rPr>
      </w:pPr>
      <w:r w:rsidRPr="007A1BBA">
        <w:rPr>
          <w:rFonts w:ascii="Calibri" w:hAnsi="Calibri" w:cs="Arial"/>
          <w:sz w:val="22"/>
        </w:rPr>
        <w:t xml:space="preserve">En el Orden civil el primer dato apreciable es el descenso de la tasa de litigiosidad y, si bien, no ha llegado a la tasa de asuntos de los años previos a la crisis económica se sitúa a niveles de los primeros años en que dicha variable empezó a subir con fuerza (2.007). </w:t>
      </w:r>
    </w:p>
    <w:p w:rsidR="00495592" w:rsidRPr="007A1BBA" w:rsidRDefault="00495592" w:rsidP="00964814">
      <w:pPr>
        <w:spacing w:before="240" w:after="120"/>
        <w:jc w:val="both"/>
        <w:rPr>
          <w:rFonts w:ascii="Calibri" w:hAnsi="Calibri" w:cs="Arial"/>
          <w:sz w:val="22"/>
        </w:rPr>
      </w:pPr>
      <w:r w:rsidRPr="007A1BBA">
        <w:rPr>
          <w:rFonts w:ascii="Calibri" w:hAnsi="Calibri" w:cs="Arial"/>
          <w:sz w:val="22"/>
        </w:rPr>
        <w:lastRenderedPageBreak/>
        <w:t xml:space="preserve">La cifra que se ha dado para 2.011 (en 2.012 ha seguido la línea descendente) es de </w:t>
      </w:r>
      <w:r w:rsidR="00284211" w:rsidRPr="007A1BBA">
        <w:rPr>
          <w:rFonts w:ascii="Calibri" w:hAnsi="Calibri" w:cs="Arial"/>
          <w:sz w:val="22"/>
        </w:rPr>
        <w:t>1.770.947</w:t>
      </w:r>
      <w:r w:rsidRPr="007A1BBA">
        <w:rPr>
          <w:rFonts w:ascii="Calibri" w:hAnsi="Calibri" w:cs="Arial"/>
          <w:sz w:val="22"/>
        </w:rPr>
        <w:t xml:space="preserve"> “asuntos ingresados” (se viene de más de dos millones de “asuntos ingresados” en 2.009). </w:t>
      </w:r>
    </w:p>
    <w:p w:rsidR="00FB70D2" w:rsidRPr="007A1BBA" w:rsidRDefault="00FB70D2" w:rsidP="00EE0D49">
      <w:pPr>
        <w:jc w:val="both"/>
        <w:rPr>
          <w:rFonts w:ascii="Calibri" w:hAnsi="Calibri" w:cs="Arial"/>
          <w:sz w:val="22"/>
        </w:rPr>
      </w:pPr>
      <w:r w:rsidRPr="007A1BBA">
        <w:rPr>
          <w:rFonts w:ascii="Calibri" w:hAnsi="Calibri" w:cs="Arial"/>
          <w:sz w:val="22"/>
        </w:rPr>
        <w:t>La cifra de “asuntos ingresados” no puede ser asumida si se realiza un análisis desde el punt</w:t>
      </w:r>
      <w:r w:rsidR="00A7754D" w:rsidRPr="007A1BBA">
        <w:rPr>
          <w:rFonts w:ascii="Calibri" w:hAnsi="Calibri" w:cs="Arial"/>
          <w:sz w:val="22"/>
        </w:rPr>
        <w:t xml:space="preserve">o de vista del Derecho Procesal, por diversos motivos: </w:t>
      </w:r>
    </w:p>
    <w:p w:rsidR="00FB67E4" w:rsidRPr="007A1BBA" w:rsidRDefault="00A7754D" w:rsidP="007A1BBA">
      <w:pPr>
        <w:pStyle w:val="Prrafodelista"/>
        <w:numPr>
          <w:ilvl w:val="0"/>
          <w:numId w:val="5"/>
        </w:numPr>
        <w:spacing w:before="240" w:after="120"/>
        <w:jc w:val="both"/>
        <w:rPr>
          <w:rFonts w:ascii="Calibri" w:hAnsi="Calibri" w:cs="Arial"/>
          <w:sz w:val="22"/>
        </w:rPr>
      </w:pPr>
      <w:r w:rsidRPr="007A1BBA">
        <w:rPr>
          <w:rFonts w:ascii="Calibri" w:hAnsi="Calibri" w:cs="Arial"/>
          <w:sz w:val="22"/>
        </w:rPr>
        <w:t xml:space="preserve">Se mezclan en el concepto procedimientos de muy diversa naturaleza, incluyendo los accesorios de otros principales (incidentes </w:t>
      </w:r>
      <w:r w:rsidRPr="007A1BBA">
        <w:rPr>
          <w:rFonts w:ascii="Calibri" w:hAnsi="Calibri" w:cs="Arial"/>
          <w:sz w:val="22"/>
          <w:shd w:val="clear" w:color="auto" w:fill="FFFFFF"/>
        </w:rPr>
        <w:t xml:space="preserve">en general y medidas cautelares), así como los  recursos devolutivos (apelación, extraordinario por infracción procesal y casación) y los procedimientos de jurisdicción voluntaria. </w:t>
      </w:r>
    </w:p>
    <w:p w:rsidR="00C64B69" w:rsidRPr="007A1BBA" w:rsidRDefault="00FB67E4" w:rsidP="007A1BBA">
      <w:pPr>
        <w:pStyle w:val="Prrafodelista"/>
        <w:numPr>
          <w:ilvl w:val="0"/>
          <w:numId w:val="5"/>
        </w:numPr>
        <w:spacing w:before="240" w:after="120"/>
        <w:jc w:val="both"/>
        <w:rPr>
          <w:rFonts w:ascii="Calibri" w:hAnsi="Calibri" w:cs="Arial"/>
          <w:sz w:val="22"/>
        </w:rPr>
      </w:pPr>
      <w:r w:rsidRPr="007A1BBA">
        <w:rPr>
          <w:rFonts w:ascii="Calibri" w:hAnsi="Calibri" w:cs="Arial"/>
          <w:sz w:val="22"/>
        </w:rPr>
        <w:t xml:space="preserve">La duplicidad en el cómputo de asuntos ingresados afecta a 294.074 asuntos que son computados al menos dos veces como “asuntos ingresados”: medidas cautelares, incidentes relativos a medidas en procedimientos matrimoniales, procesos monitorios transformados en declarativos, incidentes en procesos civiles, procedimientos que se archivan y son remitidos al Juzgados de Violencia sobre la Mujer, asuntos en la Audiencia Provincial, Tribunal Superior de Justicia y Tribunal Supremo que constituyen un recurso contra resoluciones dictadas en una instancia inferior. </w:t>
      </w:r>
    </w:p>
    <w:p w:rsidR="00C64B69" w:rsidRPr="007A1BBA" w:rsidRDefault="00C64B69" w:rsidP="007A1BBA">
      <w:pPr>
        <w:pStyle w:val="Prrafodelista"/>
        <w:numPr>
          <w:ilvl w:val="0"/>
          <w:numId w:val="5"/>
        </w:numPr>
        <w:spacing w:before="240" w:after="120"/>
        <w:jc w:val="both"/>
        <w:rPr>
          <w:rFonts w:ascii="Calibri" w:hAnsi="Calibri" w:cs="Arial"/>
          <w:sz w:val="22"/>
        </w:rPr>
      </w:pPr>
      <w:r w:rsidRPr="007A1BBA">
        <w:rPr>
          <w:rFonts w:ascii="Calibri" w:hAnsi="Calibri" w:cs="Arial"/>
          <w:sz w:val="22"/>
        </w:rPr>
        <w:t xml:space="preserve">Particular relevancia desde el punto de vista cuantitativo presenta la recogida estadística de los datos relativos al Proceso Monitorio, puesto se ha de recordar que generó 683.038 peticiones iniciales y fueron resueltos 811.634 procesos monitorios (lo que supone aproximadamente el 40% de las cifras generales que se dan para el orden civil). Los datos de Monitorios interpuestos se computan por la Memoria del CGPJ de modo íntegro </w:t>
      </w:r>
      <w:r w:rsidR="007A1BBA">
        <w:rPr>
          <w:rFonts w:ascii="Calibri" w:hAnsi="Calibri" w:cs="Arial"/>
          <w:sz w:val="22"/>
        </w:rPr>
        <w:t>como “asuntos ingresados”, cuan</w:t>
      </w:r>
      <w:r w:rsidRPr="007A1BBA">
        <w:rPr>
          <w:rFonts w:ascii="Calibri" w:hAnsi="Calibri" w:cs="Arial"/>
          <w:sz w:val="22"/>
        </w:rPr>
        <w:t>d</w:t>
      </w:r>
      <w:r w:rsidR="007A1BBA">
        <w:rPr>
          <w:rFonts w:ascii="Calibri" w:hAnsi="Calibri" w:cs="Arial"/>
          <w:sz w:val="22"/>
        </w:rPr>
        <w:t>o</w:t>
      </w:r>
      <w:r w:rsidRPr="007A1BBA">
        <w:rPr>
          <w:rFonts w:ascii="Calibri" w:hAnsi="Calibri" w:cs="Arial"/>
          <w:sz w:val="22"/>
        </w:rPr>
        <w:t xml:space="preserve"> resulta que sólo el 6% generó una actividad declarativa relevante, al ser transformado en un procedimiento ordinario – dando lugar a la correspondiente duplicidad–</w:t>
      </w:r>
      <w:r w:rsidR="00BC1018" w:rsidRPr="007A1BBA">
        <w:rPr>
          <w:rFonts w:ascii="Calibri" w:hAnsi="Calibri" w:cs="Arial"/>
          <w:sz w:val="22"/>
        </w:rPr>
        <w:t>. M</w:t>
      </w:r>
      <w:r w:rsidR="00BE2384" w:rsidRPr="007A1BBA">
        <w:rPr>
          <w:rFonts w:ascii="Calibri" w:hAnsi="Calibri" w:cs="Arial"/>
          <w:sz w:val="22"/>
        </w:rPr>
        <w:t>ientras, en el 94% de los casos</w:t>
      </w:r>
      <w:r w:rsidRPr="007A1BBA">
        <w:rPr>
          <w:rFonts w:ascii="Calibri" w:hAnsi="Calibri" w:cs="Arial"/>
          <w:sz w:val="22"/>
        </w:rPr>
        <w:t>, el Proceso Monitorio concluyó con la formulación del requerimiento de pago, al producirse el pago (7%) o pasar directamente a la ejecución (38%) – actividad jurisdiccional inexistente en el ámbito del Monitorio – o con la inadmisión del procedimiento (48%), en cuyo caso la actividad jurisdiccional se limitó a apreciar las causas previstas legalmente para inadmitir la petición inicial.</w:t>
      </w:r>
    </w:p>
    <w:p w:rsidR="00F1440A" w:rsidRPr="007A1BBA" w:rsidRDefault="00F1440A" w:rsidP="007A1BBA">
      <w:pPr>
        <w:pStyle w:val="Prrafodelista"/>
        <w:numPr>
          <w:ilvl w:val="0"/>
          <w:numId w:val="5"/>
        </w:numPr>
        <w:spacing w:before="240" w:after="120"/>
        <w:jc w:val="both"/>
        <w:rPr>
          <w:rFonts w:ascii="Calibri" w:hAnsi="Calibri" w:cs="Arial"/>
          <w:sz w:val="22"/>
        </w:rPr>
      </w:pPr>
      <w:r w:rsidRPr="007A1BBA">
        <w:rPr>
          <w:rFonts w:ascii="Calibri" w:hAnsi="Calibri" w:cs="Arial"/>
          <w:sz w:val="22"/>
        </w:rPr>
        <w:t xml:space="preserve">La Memoria del CGPJ recoge como “asunto ingresado” casi 90.000 procedimientos en materia de familia no contenciosos (procedimientos de separación y divorcio de mutuo acuerdo, incidentes de modificación de medidas y relativos a medidas sobre menores de mutuo acuerdo) y que tienen escasa relevancia procesal y requieren de una muy limitada actividad jurisdiccional. </w:t>
      </w:r>
    </w:p>
    <w:p w:rsidR="007A1BBA" w:rsidRDefault="007A1BBA" w:rsidP="00EE0D49">
      <w:pPr>
        <w:jc w:val="both"/>
        <w:rPr>
          <w:rFonts w:ascii="Calibri" w:hAnsi="Calibri" w:cs="Arial"/>
          <w:sz w:val="22"/>
        </w:rPr>
      </w:pPr>
    </w:p>
    <w:p w:rsidR="004432F1" w:rsidRPr="007A1BBA" w:rsidRDefault="00EE0D49" w:rsidP="00EE0D49">
      <w:pPr>
        <w:jc w:val="both"/>
        <w:rPr>
          <w:rFonts w:ascii="Calibri" w:hAnsi="Calibri" w:cs="Arial"/>
          <w:sz w:val="22"/>
        </w:rPr>
      </w:pPr>
      <w:r w:rsidRPr="007A1BBA">
        <w:rPr>
          <w:rFonts w:ascii="Calibri" w:hAnsi="Calibri" w:cs="Arial"/>
          <w:sz w:val="22"/>
        </w:rPr>
        <w:t>Tomando en consideración los puntos anteriores para determinar un número de “asuntos ingresados” más coherente y adaptado a l</w:t>
      </w:r>
      <w:r w:rsidR="00F72C04" w:rsidRPr="007A1BBA">
        <w:rPr>
          <w:rFonts w:ascii="Calibri" w:hAnsi="Calibri" w:cs="Arial"/>
          <w:sz w:val="22"/>
        </w:rPr>
        <w:t xml:space="preserve">a realidad procesal, se </w:t>
      </w:r>
      <w:r w:rsidR="004432F1" w:rsidRPr="007A1BBA">
        <w:rPr>
          <w:rFonts w:ascii="Calibri" w:hAnsi="Calibri" w:cs="Arial"/>
          <w:sz w:val="22"/>
        </w:rPr>
        <w:t>excluyen los procedimientos que no constituye</w:t>
      </w:r>
      <w:r w:rsidR="001D614A" w:rsidRPr="007A1BBA">
        <w:rPr>
          <w:rFonts w:ascii="Calibri" w:hAnsi="Calibri" w:cs="Arial"/>
          <w:sz w:val="22"/>
        </w:rPr>
        <w:t xml:space="preserve">n un proceso en sentido estricto y no tienen la relevancia procesal suficientemente para ser considerados como un “asunto”. </w:t>
      </w:r>
    </w:p>
    <w:p w:rsidR="00FB75A5" w:rsidRPr="007A1BBA" w:rsidRDefault="00FB75A5" w:rsidP="00EE0D49">
      <w:pPr>
        <w:jc w:val="both"/>
        <w:rPr>
          <w:rFonts w:ascii="Calibri" w:hAnsi="Calibri" w:cs="Arial"/>
          <w:sz w:val="22"/>
        </w:rPr>
      </w:pPr>
      <w:r w:rsidRPr="007A1BBA">
        <w:rPr>
          <w:rFonts w:ascii="Calibri" w:hAnsi="Calibri" w:cs="Arial"/>
          <w:sz w:val="22"/>
        </w:rPr>
        <w:t xml:space="preserve">Así, deben ser excluidos del número de “asuntos ingresados”: </w:t>
      </w:r>
    </w:p>
    <w:p w:rsidR="00FB75A5" w:rsidRPr="007A1BBA" w:rsidRDefault="00FB75A5" w:rsidP="007A1BBA">
      <w:pPr>
        <w:pStyle w:val="Prrafodelista"/>
        <w:numPr>
          <w:ilvl w:val="0"/>
          <w:numId w:val="6"/>
        </w:numPr>
        <w:jc w:val="both"/>
        <w:rPr>
          <w:rFonts w:ascii="Calibri" w:hAnsi="Calibri" w:cs="Arial"/>
          <w:sz w:val="22"/>
        </w:rPr>
      </w:pPr>
      <w:r w:rsidRPr="007A1BBA">
        <w:rPr>
          <w:rFonts w:ascii="Calibri" w:hAnsi="Calibri" w:cs="Arial"/>
          <w:sz w:val="22"/>
        </w:rPr>
        <w:t xml:space="preserve">642.000 proceso monitorios que concluyen sin actividad jurisdiccional plena (inadmisión, pago o no oposición). </w:t>
      </w:r>
    </w:p>
    <w:p w:rsidR="00FB75A5" w:rsidRPr="007A1BBA" w:rsidRDefault="00FB75A5" w:rsidP="007A1BBA">
      <w:pPr>
        <w:pStyle w:val="Prrafodelista"/>
        <w:numPr>
          <w:ilvl w:val="0"/>
          <w:numId w:val="6"/>
        </w:numPr>
        <w:jc w:val="both"/>
        <w:rPr>
          <w:rFonts w:ascii="Calibri" w:hAnsi="Calibri" w:cs="Arial"/>
          <w:sz w:val="22"/>
        </w:rPr>
      </w:pPr>
      <w:r w:rsidRPr="007A1BBA">
        <w:rPr>
          <w:rFonts w:ascii="Calibri" w:hAnsi="Calibri" w:cs="Arial"/>
          <w:sz w:val="22"/>
        </w:rPr>
        <w:t>294.074 procedimientos duplicados.</w:t>
      </w:r>
    </w:p>
    <w:p w:rsidR="00FB75A5" w:rsidRPr="007A1BBA" w:rsidRDefault="004F6DD1" w:rsidP="007A1BBA">
      <w:pPr>
        <w:pStyle w:val="Prrafodelista"/>
        <w:numPr>
          <w:ilvl w:val="0"/>
          <w:numId w:val="6"/>
        </w:numPr>
        <w:jc w:val="both"/>
        <w:rPr>
          <w:rFonts w:ascii="Calibri" w:hAnsi="Calibri" w:cs="Arial"/>
          <w:sz w:val="22"/>
        </w:rPr>
      </w:pPr>
      <w:r w:rsidRPr="007A1BBA">
        <w:rPr>
          <w:rFonts w:ascii="Calibri" w:hAnsi="Calibri" w:cs="Arial"/>
          <w:sz w:val="22"/>
        </w:rPr>
        <w:t xml:space="preserve">79.736 divorcios, separaciones o incidentes sobre medidas de mutuo acuerdo presentados ante los Juzgados. </w:t>
      </w:r>
    </w:p>
    <w:p w:rsidR="0035165D" w:rsidRPr="007A1BBA" w:rsidRDefault="0035165D" w:rsidP="007A1BBA">
      <w:pPr>
        <w:pStyle w:val="Prrafodelista"/>
        <w:numPr>
          <w:ilvl w:val="0"/>
          <w:numId w:val="6"/>
        </w:numPr>
        <w:jc w:val="both"/>
        <w:rPr>
          <w:rFonts w:ascii="Calibri" w:hAnsi="Calibri" w:cs="Arial"/>
          <w:sz w:val="22"/>
        </w:rPr>
      </w:pPr>
      <w:r w:rsidRPr="007A1BBA">
        <w:rPr>
          <w:rFonts w:ascii="Calibri" w:hAnsi="Calibri" w:cs="Arial"/>
          <w:sz w:val="22"/>
        </w:rPr>
        <w:t xml:space="preserve">54.966 expedientes de Jurisdicción voluntaria. </w:t>
      </w:r>
    </w:p>
    <w:p w:rsidR="0035165D" w:rsidRPr="007A1BBA" w:rsidRDefault="00395075" w:rsidP="0007127E">
      <w:pPr>
        <w:jc w:val="both"/>
        <w:rPr>
          <w:rFonts w:ascii="Calibri" w:hAnsi="Calibri" w:cs="Arial"/>
          <w:sz w:val="22"/>
        </w:rPr>
      </w:pPr>
      <w:r w:rsidRPr="007A1BBA">
        <w:rPr>
          <w:rFonts w:ascii="Calibri" w:hAnsi="Calibri" w:cs="Arial"/>
          <w:sz w:val="22"/>
        </w:rPr>
        <w:t>Esto nos lleva a rebajar los “asuntos ingresados” en una cifra de 1.070.776,</w:t>
      </w:r>
      <w:r w:rsidR="00500F2A" w:rsidRPr="007A1BBA">
        <w:rPr>
          <w:rFonts w:ascii="Calibri" w:hAnsi="Calibri" w:cs="Arial"/>
          <w:sz w:val="22"/>
        </w:rPr>
        <w:t xml:space="preserve"> pudiendo afirmarse que la cifra real de “procesos” ingresada en el orden civil fue, durante 2.011, de 700.171. </w:t>
      </w:r>
      <w:r w:rsidRPr="007A1BBA">
        <w:rPr>
          <w:rFonts w:ascii="Calibri" w:hAnsi="Calibri" w:cs="Arial"/>
          <w:sz w:val="22"/>
        </w:rPr>
        <w:t xml:space="preserve"> </w:t>
      </w:r>
    </w:p>
    <w:p w:rsidR="00604285" w:rsidRPr="007A1BBA" w:rsidRDefault="00FC1406" w:rsidP="002E5A2F">
      <w:pPr>
        <w:jc w:val="both"/>
        <w:rPr>
          <w:rFonts w:ascii="Calibri" w:hAnsi="Calibri" w:cs="Arial"/>
          <w:sz w:val="22"/>
        </w:rPr>
      </w:pPr>
      <w:r w:rsidRPr="007A1BBA">
        <w:rPr>
          <w:rFonts w:ascii="Calibri" w:hAnsi="Calibri" w:cs="Arial"/>
          <w:sz w:val="22"/>
        </w:rPr>
        <w:t xml:space="preserve">Esto no quiere decir que los </w:t>
      </w:r>
      <w:r w:rsidR="00A353F1" w:rsidRPr="007A1BBA">
        <w:rPr>
          <w:rFonts w:ascii="Calibri" w:hAnsi="Calibri" w:cs="Arial"/>
          <w:sz w:val="22"/>
        </w:rPr>
        <w:t>“</w:t>
      </w:r>
      <w:r w:rsidRPr="007A1BBA">
        <w:rPr>
          <w:rFonts w:ascii="Calibri" w:hAnsi="Calibri" w:cs="Arial"/>
          <w:sz w:val="22"/>
        </w:rPr>
        <w:t>asuntos</w:t>
      </w:r>
      <w:r w:rsidR="00A353F1" w:rsidRPr="007A1BBA">
        <w:rPr>
          <w:rFonts w:ascii="Calibri" w:hAnsi="Calibri" w:cs="Arial"/>
          <w:sz w:val="22"/>
        </w:rPr>
        <w:t>”</w:t>
      </w:r>
      <w:r w:rsidRPr="007A1BBA">
        <w:rPr>
          <w:rFonts w:ascii="Calibri" w:hAnsi="Calibri" w:cs="Arial"/>
          <w:sz w:val="22"/>
        </w:rPr>
        <w:t xml:space="preserve"> mencionados no deban recibir un tratamiento estadístico, puesto </w:t>
      </w:r>
      <w:r w:rsidR="00A353F1" w:rsidRPr="007A1BBA">
        <w:rPr>
          <w:rFonts w:ascii="Calibri" w:hAnsi="Calibri" w:cs="Arial"/>
          <w:sz w:val="22"/>
        </w:rPr>
        <w:t xml:space="preserve">que es evidente que se plantean ante la Jurisdicción y deben ser resueltos, pero en modo alguno pueden incluirse con otras instituciones procesales con las que no presentan homogeneidad, creando una situación de confusión total sobre las cifras reales de procesos tramitados ante la Jurisdicción. </w:t>
      </w:r>
    </w:p>
    <w:p w:rsidR="002E5A2F" w:rsidRPr="007A1BBA" w:rsidRDefault="002E5A2F" w:rsidP="002E5A2F">
      <w:pPr>
        <w:jc w:val="both"/>
        <w:rPr>
          <w:rFonts w:ascii="Calibri" w:hAnsi="Calibri" w:cs="Arial"/>
          <w:sz w:val="22"/>
        </w:rPr>
      </w:pPr>
      <w:r w:rsidRPr="007A1BBA">
        <w:rPr>
          <w:rFonts w:ascii="Calibri" w:hAnsi="Calibri" w:cs="Arial"/>
          <w:sz w:val="22"/>
        </w:rPr>
        <w:t>Por otra parte, en el ámbito del orden civil debe tomarse en consideración, desde el punto de vista de lo que se denomina por la Memoria de</w:t>
      </w:r>
      <w:r w:rsidR="005B2BD0" w:rsidRPr="007A1BBA">
        <w:rPr>
          <w:rFonts w:ascii="Calibri" w:hAnsi="Calibri" w:cs="Arial"/>
          <w:sz w:val="22"/>
        </w:rPr>
        <w:t xml:space="preserve">l CGPJ como “asuntos resueltos”, </w:t>
      </w:r>
      <w:r w:rsidR="000F6B6B" w:rsidRPr="007A1BBA">
        <w:rPr>
          <w:rFonts w:ascii="Calibri" w:hAnsi="Calibri" w:cs="Arial"/>
          <w:sz w:val="22"/>
        </w:rPr>
        <w:t xml:space="preserve">que </w:t>
      </w:r>
      <w:r w:rsidR="001F0409" w:rsidRPr="007A1BBA">
        <w:rPr>
          <w:rFonts w:ascii="Calibri" w:hAnsi="Calibri" w:cs="Arial"/>
          <w:sz w:val="22"/>
        </w:rPr>
        <w:t xml:space="preserve">apenas </w:t>
      </w:r>
      <w:r w:rsidR="00FB75A5" w:rsidRPr="00BD72C2">
        <w:rPr>
          <w:rFonts w:ascii="Calibri" w:hAnsi="Calibri" w:cs="Arial"/>
          <w:b/>
          <w:sz w:val="22"/>
        </w:rPr>
        <w:t xml:space="preserve">el </w:t>
      </w:r>
      <w:r w:rsidR="001F0409" w:rsidRPr="00BD72C2">
        <w:rPr>
          <w:rFonts w:ascii="Calibri" w:hAnsi="Calibri" w:cs="Arial"/>
          <w:b/>
          <w:sz w:val="22"/>
        </w:rPr>
        <w:t>30</w:t>
      </w:r>
      <w:r w:rsidR="00FB75A5" w:rsidRPr="00BD72C2">
        <w:rPr>
          <w:rFonts w:ascii="Calibri" w:hAnsi="Calibri" w:cs="Arial"/>
          <w:b/>
          <w:sz w:val="22"/>
        </w:rPr>
        <w:t>%</w:t>
      </w:r>
      <w:r w:rsidR="005B2BD0" w:rsidRPr="00BD72C2">
        <w:rPr>
          <w:rFonts w:ascii="Calibri" w:hAnsi="Calibri" w:cs="Arial"/>
          <w:b/>
          <w:sz w:val="22"/>
        </w:rPr>
        <w:t xml:space="preserve"> del 1.889.990 de asuntos totales</w:t>
      </w:r>
      <w:r w:rsidR="00FB75A5" w:rsidRPr="00BD72C2">
        <w:rPr>
          <w:rFonts w:ascii="Calibri" w:hAnsi="Calibri" w:cs="Arial"/>
          <w:b/>
          <w:sz w:val="22"/>
        </w:rPr>
        <w:t xml:space="preserve"> lo ha sido mediante sentenci</w:t>
      </w:r>
      <w:r w:rsidR="00FB75A5" w:rsidRPr="007A1BBA">
        <w:rPr>
          <w:rFonts w:ascii="Calibri" w:hAnsi="Calibri" w:cs="Arial"/>
          <w:b/>
          <w:sz w:val="22"/>
          <w:u w:val="single"/>
        </w:rPr>
        <w:t>a</w:t>
      </w:r>
      <w:r w:rsidR="001F0409" w:rsidRPr="007A1BBA">
        <w:rPr>
          <w:rFonts w:ascii="Calibri" w:hAnsi="Calibri" w:cs="Arial"/>
          <w:sz w:val="22"/>
        </w:rPr>
        <w:t xml:space="preserve"> y un amplio porcentaje de ellas dictadas en virtud de la interposición de un recurso devolutivo. </w:t>
      </w:r>
    </w:p>
    <w:p w:rsidR="00C15960" w:rsidRPr="007A1BBA" w:rsidRDefault="00D47744" w:rsidP="002E5A2F">
      <w:pPr>
        <w:jc w:val="both"/>
        <w:rPr>
          <w:rFonts w:ascii="Calibri" w:hAnsi="Calibri" w:cs="Arial"/>
          <w:sz w:val="22"/>
        </w:rPr>
      </w:pPr>
      <w:r w:rsidRPr="007A1BBA">
        <w:rPr>
          <w:rFonts w:ascii="Calibri" w:hAnsi="Calibri" w:cs="Arial"/>
          <w:sz w:val="22"/>
        </w:rPr>
        <w:t>En este punto son destacables los 682.380 autos finales y 654.380 decretos finalizadores del procedimiento</w:t>
      </w:r>
      <w:r w:rsidR="003914D4" w:rsidRPr="007A1BBA">
        <w:rPr>
          <w:rFonts w:ascii="Calibri" w:hAnsi="Calibri" w:cs="Arial"/>
          <w:sz w:val="22"/>
        </w:rPr>
        <w:t xml:space="preserve"> que ponen de manifiesto el irregular cómputo de los asuntos, </w:t>
      </w:r>
      <w:r w:rsidR="00FB75A5" w:rsidRPr="007A1BBA">
        <w:rPr>
          <w:rFonts w:ascii="Calibri" w:hAnsi="Calibri" w:cs="Arial"/>
          <w:sz w:val="22"/>
        </w:rPr>
        <w:t xml:space="preserve">tomando en consideración que, la regla general, es que el proceso civil debe terminar con un pronunciamiento sobre el fondo del asunto, en forma de sentencia. Lo que se aparte de ahí, supone </w:t>
      </w:r>
      <w:r w:rsidR="00797FA5" w:rsidRPr="007A1BBA">
        <w:rPr>
          <w:rFonts w:ascii="Calibri" w:hAnsi="Calibri" w:cs="Arial"/>
          <w:sz w:val="22"/>
        </w:rPr>
        <w:t xml:space="preserve">una constatación de </w:t>
      </w:r>
      <w:r w:rsidR="00FB75A5" w:rsidRPr="007A1BBA">
        <w:rPr>
          <w:rFonts w:ascii="Calibri" w:hAnsi="Calibri" w:cs="Arial"/>
          <w:sz w:val="22"/>
        </w:rPr>
        <w:t>que el cómputo de los datos de “asuntos resueltos” no se adaptan a</w:t>
      </w:r>
      <w:r w:rsidR="003914D4" w:rsidRPr="007A1BBA">
        <w:rPr>
          <w:rFonts w:ascii="Calibri" w:hAnsi="Calibri" w:cs="Arial"/>
          <w:sz w:val="22"/>
        </w:rPr>
        <w:t xml:space="preserve"> lo que en la normativa procesal civil supone una resolución sobre el fondo de asunto, resolviendo la controversia. </w:t>
      </w:r>
    </w:p>
    <w:p w:rsidR="007A1BBA" w:rsidRDefault="007A1BBA" w:rsidP="002E5A2F">
      <w:pPr>
        <w:jc w:val="both"/>
        <w:rPr>
          <w:rFonts w:ascii="Calibri" w:hAnsi="Calibri" w:cs="Arial"/>
          <w:sz w:val="22"/>
        </w:rPr>
      </w:pPr>
    </w:p>
    <w:p w:rsidR="003914D4" w:rsidRPr="007A1BBA" w:rsidRDefault="003914D4" w:rsidP="002E5A2F">
      <w:pPr>
        <w:jc w:val="both"/>
        <w:rPr>
          <w:rFonts w:ascii="Calibri" w:hAnsi="Calibri" w:cs="Arial"/>
          <w:sz w:val="22"/>
        </w:rPr>
      </w:pPr>
      <w:r w:rsidRPr="007A1BBA">
        <w:rPr>
          <w:rFonts w:ascii="Calibri" w:hAnsi="Calibri" w:cs="Arial"/>
          <w:sz w:val="22"/>
        </w:rPr>
        <w:t xml:space="preserve">Es cierto que el proceso también puede concluir con otras resoluciones, pero en modo alguno es correcto desde el punto de vista procesal computar como “asuntos resueltos”, sin más, las sentencias y el resto de resoluciones que ponen fin al proceso civil. </w:t>
      </w:r>
    </w:p>
    <w:p w:rsidR="00FB75A5" w:rsidRPr="007A1BBA" w:rsidRDefault="005144C7" w:rsidP="002E5A2F">
      <w:pPr>
        <w:jc w:val="both"/>
        <w:rPr>
          <w:rFonts w:ascii="Calibri" w:hAnsi="Calibri" w:cs="Arial"/>
          <w:sz w:val="22"/>
        </w:rPr>
      </w:pPr>
      <w:r w:rsidRPr="007A1BBA">
        <w:rPr>
          <w:rFonts w:ascii="Calibri" w:hAnsi="Calibri" w:cs="Arial"/>
          <w:sz w:val="22"/>
        </w:rPr>
        <w:t xml:space="preserve">Esto ha de ponerse en relación con la indebida determinación de los “asuntos ingresados” que se ha recogido, puesto que si lo computado como ingresado no es un proceso </w:t>
      </w:r>
      <w:r w:rsidRPr="007A1BBA">
        <w:rPr>
          <w:rFonts w:ascii="Calibri" w:hAnsi="Calibri" w:cs="Arial"/>
          <w:i/>
          <w:sz w:val="22"/>
        </w:rPr>
        <w:t xml:space="preserve">stricto sensu </w:t>
      </w:r>
      <w:r w:rsidRPr="007A1BBA">
        <w:rPr>
          <w:rFonts w:ascii="Calibri" w:hAnsi="Calibri" w:cs="Arial"/>
          <w:sz w:val="22"/>
        </w:rPr>
        <w:t xml:space="preserve">no va a concluir mediante sentencia, de ahí lo reducido del porcentaje de sentencias en relación con la terminación de los “asuntos” que son computados como tales por la Memoria del CGPJ y la estadística judicial. </w:t>
      </w:r>
    </w:p>
    <w:p w:rsidR="00C1190C" w:rsidRPr="007A1BBA" w:rsidRDefault="00EF01E3" w:rsidP="003C07B4">
      <w:pPr>
        <w:pStyle w:val="Ttulo1"/>
        <w:spacing w:before="240" w:after="120" w:line="276" w:lineRule="auto"/>
        <w:jc w:val="both"/>
        <w:rPr>
          <w:rFonts w:ascii="Calibri" w:hAnsi="Calibri" w:cs="Arial"/>
          <w:b/>
          <w:sz w:val="24"/>
          <w:szCs w:val="24"/>
          <w:u w:val="none"/>
          <w:lang w:eastAsia="es-ES"/>
        </w:rPr>
      </w:pPr>
      <w:bookmarkStart w:id="4" w:name="_Toc353566616"/>
      <w:bookmarkStart w:id="5" w:name="_Toc354554999"/>
      <w:r w:rsidRPr="007A1BBA">
        <w:rPr>
          <w:rFonts w:ascii="Calibri" w:hAnsi="Calibri" w:cs="Arial"/>
          <w:b/>
          <w:sz w:val="24"/>
          <w:szCs w:val="24"/>
          <w:u w:val="none"/>
          <w:lang w:eastAsia="es-ES"/>
        </w:rPr>
        <w:t xml:space="preserve">3) </w:t>
      </w:r>
      <w:bookmarkEnd w:id="4"/>
      <w:r w:rsidR="00877896" w:rsidRPr="007A1BBA">
        <w:rPr>
          <w:rFonts w:ascii="Calibri" w:hAnsi="Calibri" w:cs="Arial"/>
          <w:b/>
          <w:sz w:val="24"/>
          <w:szCs w:val="24"/>
          <w:u w:val="none"/>
          <w:lang w:eastAsia="es-ES"/>
        </w:rPr>
        <w:t>Irregular cómputo de asuntos en el Orden Penal.</w:t>
      </w:r>
      <w:bookmarkEnd w:id="5"/>
      <w:r w:rsidR="00877896" w:rsidRPr="007A1BBA">
        <w:rPr>
          <w:rFonts w:ascii="Calibri" w:hAnsi="Calibri" w:cs="Arial"/>
          <w:b/>
          <w:sz w:val="24"/>
          <w:szCs w:val="24"/>
          <w:u w:val="none"/>
          <w:lang w:eastAsia="es-ES"/>
        </w:rPr>
        <w:t xml:space="preserve"> </w:t>
      </w:r>
      <w:r w:rsidR="0070327B" w:rsidRPr="007A1BBA">
        <w:rPr>
          <w:rFonts w:ascii="Calibri" w:hAnsi="Calibri" w:cs="Arial"/>
          <w:b/>
          <w:sz w:val="24"/>
          <w:szCs w:val="24"/>
          <w:u w:val="none"/>
          <w:lang w:eastAsia="es-ES"/>
        </w:rPr>
        <w:t xml:space="preserve"> </w:t>
      </w:r>
    </w:p>
    <w:p w:rsidR="00814737" w:rsidRPr="007A1BBA" w:rsidRDefault="00877896" w:rsidP="009E413B">
      <w:pPr>
        <w:jc w:val="both"/>
        <w:rPr>
          <w:rFonts w:ascii="Calibri" w:hAnsi="Calibri" w:cs="Arial"/>
          <w:bCs/>
          <w:sz w:val="22"/>
        </w:rPr>
      </w:pPr>
      <w:r w:rsidRPr="007A1BBA">
        <w:rPr>
          <w:rFonts w:ascii="Calibri" w:hAnsi="Calibri" w:cs="Arial"/>
          <w:sz w:val="22"/>
        </w:rPr>
        <w:t>En el caso del Orden Penal las cifras generales que se ofrecen en la Memoria del CGPJ (</w:t>
      </w:r>
      <w:r w:rsidR="00D43750" w:rsidRPr="007A1BBA">
        <w:rPr>
          <w:rFonts w:ascii="Calibri" w:hAnsi="Calibri" w:cs="Arial"/>
          <w:b/>
          <w:bCs/>
          <w:sz w:val="22"/>
        </w:rPr>
        <w:t xml:space="preserve">6.542.545 </w:t>
      </w:r>
      <w:r w:rsidR="00D43750" w:rsidRPr="007A1BBA">
        <w:rPr>
          <w:rFonts w:ascii="Calibri" w:hAnsi="Calibri" w:cs="Arial"/>
          <w:bCs/>
          <w:sz w:val="22"/>
        </w:rPr>
        <w:t xml:space="preserve">de “asuntos ingresados” y </w:t>
      </w:r>
      <w:r w:rsidR="00D43750" w:rsidRPr="007A1BBA">
        <w:rPr>
          <w:rFonts w:ascii="Calibri" w:hAnsi="Calibri" w:cs="Arial"/>
          <w:b/>
          <w:bCs/>
          <w:sz w:val="22"/>
        </w:rPr>
        <w:t xml:space="preserve">6.563.629 </w:t>
      </w:r>
      <w:r w:rsidR="00D43750" w:rsidRPr="007A1BBA">
        <w:rPr>
          <w:rFonts w:ascii="Calibri" w:hAnsi="Calibri" w:cs="Arial"/>
          <w:bCs/>
          <w:sz w:val="22"/>
        </w:rPr>
        <w:t>de “asuntos resueltos”</w:t>
      </w:r>
      <w:r w:rsidRPr="007A1BBA">
        <w:rPr>
          <w:rFonts w:ascii="Calibri" w:hAnsi="Calibri" w:cs="Arial"/>
          <w:bCs/>
          <w:sz w:val="22"/>
        </w:rPr>
        <w:t>) están basadas en una interpretación anómala de los datos de la estad</w:t>
      </w:r>
      <w:r w:rsidR="006175D0" w:rsidRPr="007A1BBA">
        <w:rPr>
          <w:rFonts w:ascii="Calibri" w:hAnsi="Calibri" w:cs="Arial"/>
          <w:bCs/>
          <w:sz w:val="22"/>
        </w:rPr>
        <w:t xml:space="preserve">ística judicial. </w:t>
      </w:r>
      <w:r w:rsidR="00FD74D8" w:rsidRPr="007A1BBA">
        <w:rPr>
          <w:rFonts w:ascii="Calibri" w:hAnsi="Calibri" w:cs="Arial"/>
          <w:bCs/>
          <w:sz w:val="22"/>
        </w:rPr>
        <w:t xml:space="preserve">El impacto del incorrecto cómputo de la estadística judicial en este ámbito es muy intenso, puesto que la carga de trabajo Jurisdicción Penal representaría el 72% del total de la Jurisdicción. </w:t>
      </w:r>
    </w:p>
    <w:p w:rsidR="00EC227F" w:rsidRPr="007A1BBA" w:rsidRDefault="00814737" w:rsidP="009E413B">
      <w:pPr>
        <w:jc w:val="both"/>
        <w:rPr>
          <w:rFonts w:ascii="Calibri" w:hAnsi="Calibri" w:cs="Arial"/>
          <w:bCs/>
          <w:sz w:val="22"/>
        </w:rPr>
      </w:pPr>
      <w:r w:rsidRPr="007A1BBA">
        <w:rPr>
          <w:rFonts w:ascii="Calibri" w:hAnsi="Calibri" w:cs="Arial"/>
          <w:bCs/>
          <w:sz w:val="22"/>
        </w:rPr>
        <w:t>Estas cifras son desproporcionadas y es incomprensible cómo la Memoria del CGPJ</w:t>
      </w:r>
      <w:r w:rsidR="00EC227F" w:rsidRPr="007A1BBA">
        <w:rPr>
          <w:rFonts w:ascii="Calibri" w:hAnsi="Calibri" w:cs="Arial"/>
          <w:bCs/>
          <w:sz w:val="22"/>
        </w:rPr>
        <w:t xml:space="preserve"> puede asumir las mismas sin ofrecer ningún tipo de explicación sobre lo que se entiende como asunto en la Jurisdicción Penal. Es indicativo de dicha desproporción, la mera comparativa con la Jurisdicción Civil en cuanto al número de órganos judiciales y efectivos</w:t>
      </w:r>
      <w:r w:rsidR="00490407" w:rsidRPr="007A1BBA">
        <w:rPr>
          <w:rFonts w:ascii="Calibri" w:hAnsi="Calibri" w:cs="Arial"/>
          <w:bCs/>
          <w:sz w:val="22"/>
        </w:rPr>
        <w:t>, puesto que una y otra jurisdicción con prácticamente el mismo número de órganos (</w:t>
      </w:r>
      <w:r w:rsidR="000A6614" w:rsidRPr="007A1BBA">
        <w:rPr>
          <w:rFonts w:ascii="Calibri" w:hAnsi="Calibri" w:cs="Arial"/>
          <w:bCs/>
          <w:sz w:val="22"/>
        </w:rPr>
        <w:t>1.117 órganos unipersonales</w:t>
      </w:r>
      <w:r w:rsidR="00871C5F" w:rsidRPr="007A1BBA">
        <w:rPr>
          <w:rFonts w:ascii="Calibri" w:hAnsi="Calibri" w:cs="Arial"/>
          <w:bCs/>
          <w:sz w:val="22"/>
        </w:rPr>
        <w:t xml:space="preserve"> – en los que se concentra la práctica totalidad de asuntos desde el punto de vista de la estadística general –</w:t>
      </w:r>
      <w:r w:rsidR="000A6614" w:rsidRPr="007A1BBA">
        <w:rPr>
          <w:rFonts w:ascii="Calibri" w:hAnsi="Calibri" w:cs="Arial"/>
          <w:bCs/>
          <w:sz w:val="22"/>
        </w:rPr>
        <w:t xml:space="preserve"> en la Jurisdicción Penal, 880 en la Jurisdicción Civil y 1.071 órganos mixtos)</w:t>
      </w:r>
      <w:r w:rsidR="00871C5F" w:rsidRPr="007A1BBA">
        <w:rPr>
          <w:rFonts w:ascii="Calibri" w:hAnsi="Calibri" w:cs="Arial"/>
          <w:bCs/>
          <w:sz w:val="22"/>
        </w:rPr>
        <w:t xml:space="preserve"> tramitan un número dispar de asuntos, seis millones y medio la Penal y no llega a dos millones la civil, esto es 3 veces más con similar número de órganos judiciales. La diferencia, como es lógico, sólo puede estar en la naturaleza de lo que </w:t>
      </w:r>
      <w:r w:rsidR="00854DA0" w:rsidRPr="007A1BBA">
        <w:rPr>
          <w:rFonts w:ascii="Calibri" w:hAnsi="Calibri" w:cs="Arial"/>
          <w:bCs/>
          <w:sz w:val="22"/>
        </w:rPr>
        <w:t xml:space="preserve">en una y otra Jurisdicción se entiende como “asunto”. </w:t>
      </w:r>
    </w:p>
    <w:p w:rsidR="0032653A" w:rsidRPr="007A1BBA" w:rsidRDefault="002D4A1A" w:rsidP="00FD74D8">
      <w:pPr>
        <w:spacing w:before="240" w:after="120"/>
        <w:jc w:val="both"/>
        <w:rPr>
          <w:rFonts w:ascii="Calibri" w:hAnsi="Calibri" w:cs="Arial"/>
          <w:color w:val="FF0000"/>
          <w:sz w:val="22"/>
        </w:rPr>
      </w:pPr>
      <w:r w:rsidRPr="007A1BBA">
        <w:rPr>
          <w:rFonts w:ascii="Calibri" w:hAnsi="Calibri" w:cs="Arial"/>
          <w:sz w:val="22"/>
        </w:rPr>
        <w:t xml:space="preserve">La irregularidad del análisis estadístico que hace la Memoria del CGPJ está basada en el hecho de computar lisa y llanamente como “asuntos ingresados” todos los procedimientos en su fase de instrucción (5.880.778) sin tomar en consideración que el </w:t>
      </w:r>
      <w:r w:rsidR="00FD74D8" w:rsidRPr="00BD72C2">
        <w:rPr>
          <w:rFonts w:ascii="Calibri" w:hAnsi="Calibri" w:cs="Arial"/>
          <w:b/>
          <w:sz w:val="22"/>
        </w:rPr>
        <w:t>78,4% de los “asuntos ingresados” concluye en la fase de instrucción sin dar lugar a ningún tipo ac</w:t>
      </w:r>
      <w:r w:rsidR="00FB574F" w:rsidRPr="00BD72C2">
        <w:rPr>
          <w:rFonts w:ascii="Calibri" w:hAnsi="Calibri" w:cs="Arial"/>
          <w:b/>
          <w:sz w:val="22"/>
        </w:rPr>
        <w:t>tividad de tipo jurisdiccional</w:t>
      </w:r>
      <w:r w:rsidR="0032653A" w:rsidRPr="00BD72C2">
        <w:rPr>
          <w:rFonts w:ascii="Calibri" w:hAnsi="Calibri" w:cs="Arial"/>
          <w:b/>
          <w:sz w:val="22"/>
        </w:rPr>
        <w:t xml:space="preserve">. </w:t>
      </w:r>
      <w:r w:rsidR="006E79E0" w:rsidRPr="007A1BBA">
        <w:rPr>
          <w:rFonts w:ascii="Calibri" w:hAnsi="Calibri" w:cs="Arial"/>
          <w:sz w:val="22"/>
        </w:rPr>
        <w:t xml:space="preserve">Este factor es un elemento fundamental en el sobredimensionamiento de la </w:t>
      </w:r>
      <w:r w:rsidR="006E79E0" w:rsidRPr="007A1BBA">
        <w:rPr>
          <w:rFonts w:ascii="Calibri" w:hAnsi="Calibri" w:cs="Arial"/>
          <w:sz w:val="22"/>
        </w:rPr>
        <w:lastRenderedPageBreak/>
        <w:t xml:space="preserve">estadística judicial, puesto que computa </w:t>
      </w:r>
      <w:r w:rsidR="006E1588" w:rsidRPr="007A1BBA">
        <w:rPr>
          <w:rFonts w:ascii="Calibri" w:hAnsi="Calibri" w:cs="Arial"/>
          <w:sz w:val="22"/>
        </w:rPr>
        <w:t>como “asuntos ingresados” y “asuntos resueltos”</w:t>
      </w:r>
      <w:r w:rsidR="00D503C2" w:rsidRPr="007A1BBA">
        <w:rPr>
          <w:rFonts w:ascii="Calibri" w:hAnsi="Calibri" w:cs="Arial"/>
          <w:sz w:val="22"/>
        </w:rPr>
        <w:t xml:space="preserve"> procedimientos que no trasciende</w:t>
      </w:r>
      <w:r w:rsidR="00BA1492" w:rsidRPr="007A1BBA">
        <w:rPr>
          <w:rFonts w:ascii="Calibri" w:hAnsi="Calibri" w:cs="Arial"/>
          <w:sz w:val="22"/>
        </w:rPr>
        <w:t>n</w:t>
      </w:r>
      <w:r w:rsidR="00D503C2" w:rsidRPr="007A1BBA">
        <w:rPr>
          <w:rFonts w:ascii="Calibri" w:hAnsi="Calibri" w:cs="Arial"/>
          <w:sz w:val="22"/>
        </w:rPr>
        <w:t xml:space="preserve"> de la fase de instrucción y que, en la mayor parte casos, no </w:t>
      </w:r>
      <w:r w:rsidR="007B573A" w:rsidRPr="007A1BBA">
        <w:rPr>
          <w:rFonts w:ascii="Calibri" w:hAnsi="Calibri" w:cs="Arial"/>
          <w:sz w:val="22"/>
        </w:rPr>
        <w:t xml:space="preserve">generan una actividad judicial relevante. </w:t>
      </w:r>
    </w:p>
    <w:p w:rsidR="00F351F4" w:rsidRPr="007A1BBA" w:rsidRDefault="00F351F4" w:rsidP="00FD74D8">
      <w:pPr>
        <w:spacing w:before="240" w:after="120"/>
        <w:jc w:val="both"/>
        <w:rPr>
          <w:rFonts w:ascii="Calibri" w:hAnsi="Calibri" w:cs="Arial"/>
          <w:sz w:val="22"/>
        </w:rPr>
      </w:pPr>
      <w:r w:rsidRPr="007A1BBA">
        <w:rPr>
          <w:rFonts w:ascii="Calibri" w:hAnsi="Calibri" w:cs="Arial"/>
          <w:sz w:val="22"/>
        </w:rPr>
        <w:t xml:space="preserve">Un adecuado tratamiento estadístico de la instrucción penal </w:t>
      </w:r>
      <w:r w:rsidR="007B573A" w:rsidRPr="007A1BBA">
        <w:rPr>
          <w:rFonts w:ascii="Calibri" w:hAnsi="Calibri" w:cs="Arial"/>
          <w:sz w:val="22"/>
        </w:rPr>
        <w:t xml:space="preserve">debería </w:t>
      </w:r>
      <w:r w:rsidRPr="007A1BBA">
        <w:rPr>
          <w:rFonts w:ascii="Calibri" w:hAnsi="Calibri" w:cs="Arial"/>
          <w:sz w:val="22"/>
        </w:rPr>
        <w:t xml:space="preserve">implicar una reducción del </w:t>
      </w:r>
      <w:r w:rsidR="007B573A" w:rsidRPr="007A1BBA">
        <w:rPr>
          <w:rFonts w:ascii="Calibri" w:hAnsi="Calibri" w:cs="Arial"/>
          <w:sz w:val="22"/>
        </w:rPr>
        <w:t>9</w:t>
      </w:r>
      <w:r w:rsidRPr="007A1BBA">
        <w:rPr>
          <w:rFonts w:ascii="Calibri" w:hAnsi="Calibri" w:cs="Arial"/>
          <w:sz w:val="22"/>
        </w:rPr>
        <w:t xml:space="preserve">0% de las cifras generales de la Jurisdicción </w:t>
      </w:r>
      <w:r w:rsidR="00A76C0A" w:rsidRPr="007A1BBA">
        <w:rPr>
          <w:rFonts w:ascii="Calibri" w:hAnsi="Calibri" w:cs="Arial"/>
          <w:sz w:val="22"/>
        </w:rPr>
        <w:t>que son ma</w:t>
      </w:r>
      <w:r w:rsidR="006B4807" w:rsidRPr="007A1BBA">
        <w:rPr>
          <w:rFonts w:ascii="Calibri" w:hAnsi="Calibri" w:cs="Arial"/>
          <w:sz w:val="22"/>
        </w:rPr>
        <w:t>nejadas en la Memoria del GCPJ, tomando en consideración que los “asuntos ingresados” son, con carácter general, “asuntos investigados”</w:t>
      </w:r>
      <w:r w:rsidR="00E430FB" w:rsidRPr="007A1BBA">
        <w:rPr>
          <w:rFonts w:ascii="Calibri" w:hAnsi="Calibri" w:cs="Arial"/>
          <w:sz w:val="22"/>
        </w:rPr>
        <w:t xml:space="preserve"> que no deberían ser computados como asuntos, salvo cuando </w:t>
      </w:r>
      <w:r w:rsidR="00CA2C41" w:rsidRPr="007A1BBA">
        <w:rPr>
          <w:rFonts w:ascii="Calibri" w:hAnsi="Calibri" w:cs="Arial"/>
          <w:sz w:val="22"/>
        </w:rPr>
        <w:t xml:space="preserve">se proceda, como mínimo, a la formación del sumario o el correspondiente procedimiento abreviado. </w:t>
      </w:r>
      <w:r w:rsidR="00D26701" w:rsidRPr="007A1BBA">
        <w:rPr>
          <w:rFonts w:ascii="Calibri" w:hAnsi="Calibri" w:cs="Arial"/>
          <w:sz w:val="22"/>
        </w:rPr>
        <w:t xml:space="preserve">Este hecho es relevante si se toma en consideración la naturaleza jurídica de las actuaciones que se practican </w:t>
      </w:r>
      <w:r w:rsidR="004C3B16" w:rsidRPr="007A1BBA">
        <w:rPr>
          <w:rFonts w:ascii="Calibri" w:hAnsi="Calibri" w:cs="Arial"/>
          <w:sz w:val="22"/>
        </w:rPr>
        <w:t xml:space="preserve">en el ámbito de dichas diligencias previas y más lo será, si como todo parece apuntar, la futura norma reguladora del proceso penal </w:t>
      </w:r>
      <w:r w:rsidR="00C73EC7" w:rsidRPr="007A1BBA">
        <w:rPr>
          <w:rFonts w:ascii="Calibri" w:hAnsi="Calibri" w:cs="Arial"/>
          <w:sz w:val="22"/>
        </w:rPr>
        <w:t>mantiene la regulación prevista sobre la fase de instrucción</w:t>
      </w:r>
      <w:r w:rsidR="00A90070" w:rsidRPr="007A1BBA">
        <w:rPr>
          <w:rFonts w:ascii="Calibri" w:hAnsi="Calibri" w:cs="Arial"/>
          <w:sz w:val="22"/>
        </w:rPr>
        <w:t xml:space="preserve">, lo que supondría la exclusión, con carácter general, de dichas diligencias de la estadística judicial. </w:t>
      </w:r>
    </w:p>
    <w:p w:rsidR="00107886" w:rsidRPr="007A1BBA" w:rsidRDefault="00CA2C41" w:rsidP="00FD74D8">
      <w:pPr>
        <w:spacing w:before="240" w:after="120"/>
        <w:jc w:val="both"/>
        <w:rPr>
          <w:rFonts w:ascii="Calibri" w:hAnsi="Calibri" w:cs="Arial"/>
          <w:sz w:val="22"/>
        </w:rPr>
      </w:pPr>
      <w:r w:rsidRPr="007A1BBA">
        <w:rPr>
          <w:rFonts w:ascii="Calibri" w:hAnsi="Calibri" w:cs="Arial"/>
          <w:sz w:val="22"/>
        </w:rPr>
        <w:t xml:space="preserve">La Memoria del CGPJ, al dar </w:t>
      </w:r>
      <w:r w:rsidR="00107886" w:rsidRPr="007A1BBA">
        <w:rPr>
          <w:rFonts w:ascii="Calibri" w:hAnsi="Calibri" w:cs="Arial"/>
          <w:sz w:val="22"/>
        </w:rPr>
        <w:t>tal relevancia a la fase de instrucción determina la existencia de un importante número de duplicidades en el cómputo total de asuntos</w:t>
      </w:r>
      <w:r w:rsidR="001068E6" w:rsidRPr="007A1BBA">
        <w:rPr>
          <w:rFonts w:ascii="Calibri" w:hAnsi="Calibri" w:cs="Arial"/>
          <w:sz w:val="22"/>
        </w:rPr>
        <w:t>, lo que además es favorecido por las instrucciones proporcionadas a los órganos judiciales para tomar los datos estadísticos. Así,</w:t>
      </w:r>
      <w:r w:rsidR="00F6358A" w:rsidRPr="007A1BBA">
        <w:rPr>
          <w:rFonts w:ascii="Calibri" w:hAnsi="Calibri" w:cs="Arial"/>
          <w:sz w:val="22"/>
        </w:rPr>
        <w:t xml:space="preserve"> los </w:t>
      </w:r>
      <w:r w:rsidR="001068E6" w:rsidRPr="007A1BBA">
        <w:rPr>
          <w:rFonts w:ascii="Calibri" w:hAnsi="Calibri" w:cs="Arial"/>
          <w:sz w:val="22"/>
        </w:rPr>
        <w:t>distintos procedimientos</w:t>
      </w:r>
      <w:r w:rsidR="00F6358A" w:rsidRPr="007A1BBA">
        <w:rPr>
          <w:rFonts w:ascii="Calibri" w:hAnsi="Calibri" w:cs="Arial"/>
          <w:sz w:val="22"/>
        </w:rPr>
        <w:t>, etapas</w:t>
      </w:r>
      <w:r w:rsidR="001068E6" w:rsidRPr="007A1BBA">
        <w:rPr>
          <w:rFonts w:ascii="Calibri" w:hAnsi="Calibri" w:cs="Arial"/>
          <w:sz w:val="22"/>
        </w:rPr>
        <w:t xml:space="preserve"> o formas</w:t>
      </w:r>
      <w:r w:rsidR="00F6358A" w:rsidRPr="007A1BBA">
        <w:rPr>
          <w:rFonts w:ascii="Calibri" w:hAnsi="Calibri" w:cs="Arial"/>
          <w:sz w:val="22"/>
        </w:rPr>
        <w:t xml:space="preserve"> por los que puede transcurrir la fase de instrucción son computados – a pesar de tratarse de modo evidente del mismo asunto – como un nuevo “asunto ingresado” y un “asunto resuelto”</w:t>
      </w:r>
      <w:r w:rsidR="00B60E54" w:rsidRPr="007A1BBA">
        <w:rPr>
          <w:rFonts w:ascii="Calibri" w:hAnsi="Calibri" w:cs="Arial"/>
          <w:sz w:val="22"/>
        </w:rPr>
        <w:t xml:space="preserve">. Igualmente están computados por duplicado los procesos que pasan por más de un órgano judicial a lo largo de la tramitación, puesto que, en tales, casos la estadística también los computa como un “asunto resuelto” y un “asunto ingresado”, lo cual no es así, desde el punto de vista procesal. </w:t>
      </w:r>
      <w:r w:rsidRPr="007A1BBA">
        <w:rPr>
          <w:rFonts w:ascii="Calibri" w:hAnsi="Calibri" w:cs="Arial"/>
          <w:sz w:val="22"/>
        </w:rPr>
        <w:t xml:space="preserve"> Esto es, no es sólo que se compute la fase de instrucción aunque la misma se sobresea, es que la fase de instrucción en ocasiones se computa varias veces en la estadística judicial – así lo exigen los boletines estadísticos de recogida de datos –. </w:t>
      </w:r>
    </w:p>
    <w:p w:rsidR="00B60E54" w:rsidRPr="007A1BBA" w:rsidRDefault="00B60E54" w:rsidP="00FD74D8">
      <w:pPr>
        <w:spacing w:before="240" w:after="120"/>
        <w:jc w:val="both"/>
        <w:rPr>
          <w:rFonts w:ascii="Calibri" w:hAnsi="Calibri" w:cs="Arial"/>
          <w:sz w:val="22"/>
        </w:rPr>
      </w:pPr>
      <w:r w:rsidRPr="007A1BBA">
        <w:rPr>
          <w:rFonts w:ascii="Calibri" w:hAnsi="Calibri" w:cs="Arial"/>
          <w:sz w:val="22"/>
        </w:rPr>
        <w:t>Realizando un análisis ponderado de la estadística judicial</w:t>
      </w:r>
      <w:r w:rsidR="009A1A2C" w:rsidRPr="007A1BBA">
        <w:rPr>
          <w:rFonts w:ascii="Calibri" w:hAnsi="Calibri" w:cs="Arial"/>
          <w:sz w:val="22"/>
        </w:rPr>
        <w:t>,</w:t>
      </w:r>
      <w:r w:rsidR="007B573A" w:rsidRPr="007A1BBA">
        <w:rPr>
          <w:rFonts w:ascii="Calibri" w:hAnsi="Calibri" w:cs="Arial"/>
          <w:sz w:val="22"/>
        </w:rPr>
        <w:t xml:space="preserve"> </w:t>
      </w:r>
      <w:r w:rsidR="009A1A2C" w:rsidRPr="007A1BBA">
        <w:rPr>
          <w:rFonts w:ascii="Calibri" w:hAnsi="Calibri" w:cs="Arial"/>
          <w:sz w:val="22"/>
        </w:rPr>
        <w:t xml:space="preserve">las cifras de la Memoria del CGPJ deben sufrir una profunda revisión, hasta excluir de los “asuntos” que se tramitan en el orden penal el </w:t>
      </w:r>
      <w:r w:rsidR="00435759" w:rsidRPr="007A1BBA">
        <w:rPr>
          <w:rFonts w:ascii="Calibri" w:hAnsi="Calibri" w:cs="Arial"/>
          <w:sz w:val="22"/>
        </w:rPr>
        <w:t>9</w:t>
      </w:r>
      <w:r w:rsidR="009A1A2C" w:rsidRPr="007A1BBA">
        <w:rPr>
          <w:rFonts w:ascii="Calibri" w:hAnsi="Calibri" w:cs="Arial"/>
          <w:sz w:val="22"/>
        </w:rPr>
        <w:t xml:space="preserve">0% de los que se reconocen por aquélla como tales. </w:t>
      </w:r>
    </w:p>
    <w:p w:rsidR="00CF1C90" w:rsidRDefault="009A1A2C" w:rsidP="00514C9C">
      <w:pPr>
        <w:spacing w:before="240" w:after="120"/>
        <w:jc w:val="both"/>
        <w:rPr>
          <w:rFonts w:ascii="Calibri" w:hAnsi="Calibri" w:cs="Arial"/>
          <w:sz w:val="22"/>
        </w:rPr>
      </w:pPr>
      <w:r w:rsidRPr="007A1BBA">
        <w:rPr>
          <w:rFonts w:ascii="Calibri" w:hAnsi="Calibri" w:cs="Arial"/>
          <w:sz w:val="22"/>
        </w:rPr>
        <w:t>Así</w:t>
      </w:r>
      <w:r w:rsidR="00CF1C90" w:rsidRPr="007A1BBA">
        <w:rPr>
          <w:rFonts w:ascii="Calibri" w:hAnsi="Calibri" w:cs="Arial"/>
          <w:sz w:val="22"/>
        </w:rPr>
        <w:t xml:space="preserve">, una cifra más realista de los procedimientos en fase de instrucción tramitados por la jurisdicción penal estaría compuesta por las siguientes variables: </w:t>
      </w:r>
    </w:p>
    <w:p w:rsidR="007A1BBA" w:rsidRPr="007A1BBA" w:rsidRDefault="007A1BBA" w:rsidP="00514C9C">
      <w:pPr>
        <w:spacing w:before="240" w:after="120"/>
        <w:jc w:val="both"/>
        <w:rPr>
          <w:rFonts w:ascii="Calibri" w:hAnsi="Calibri" w:cs="Arial"/>
          <w:sz w:val="22"/>
        </w:rPr>
      </w:pPr>
    </w:p>
    <w:p w:rsidR="003453C9" w:rsidRPr="007A1BBA" w:rsidRDefault="009A1A2C" w:rsidP="007A1BBA">
      <w:pPr>
        <w:pStyle w:val="Prrafodelista"/>
        <w:numPr>
          <w:ilvl w:val="0"/>
          <w:numId w:val="7"/>
        </w:numPr>
        <w:spacing w:before="240" w:after="120"/>
        <w:jc w:val="both"/>
        <w:rPr>
          <w:rFonts w:ascii="Calibri" w:hAnsi="Calibri" w:cs="Arial"/>
          <w:sz w:val="22"/>
        </w:rPr>
      </w:pPr>
      <w:r w:rsidRPr="007A1BBA">
        <w:rPr>
          <w:rFonts w:ascii="Calibri" w:hAnsi="Calibri" w:cs="Arial"/>
          <w:sz w:val="22"/>
        </w:rPr>
        <w:lastRenderedPageBreak/>
        <w:t>Juicios de faltas, se deberían computar</w:t>
      </w:r>
      <w:r w:rsidR="00CF1C90" w:rsidRPr="007A1BBA">
        <w:rPr>
          <w:rFonts w:ascii="Calibri" w:hAnsi="Calibri" w:cs="Arial"/>
          <w:sz w:val="22"/>
        </w:rPr>
        <w:t xml:space="preserve"> aquellos en los que llega a celebrarse el juicio (3</w:t>
      </w:r>
      <w:r w:rsidR="00021429" w:rsidRPr="007A1BBA">
        <w:rPr>
          <w:rFonts w:ascii="Calibri" w:hAnsi="Calibri" w:cs="Arial"/>
          <w:sz w:val="22"/>
        </w:rPr>
        <w:t>80.633</w:t>
      </w:r>
      <w:r w:rsidR="00CF1C90" w:rsidRPr="007A1BBA">
        <w:rPr>
          <w:rFonts w:ascii="Calibri" w:hAnsi="Calibri" w:cs="Arial"/>
          <w:sz w:val="22"/>
        </w:rPr>
        <w:t>), cifra más coherente con el verdadero ejercicio de la potestad jurisdiccional (</w:t>
      </w:r>
      <w:r w:rsidR="00021429" w:rsidRPr="007A1BBA">
        <w:rPr>
          <w:rFonts w:ascii="Calibri" w:hAnsi="Calibri" w:cs="Arial"/>
          <w:sz w:val="22"/>
        </w:rPr>
        <w:t>365.084 sentencias han sido dictadas en juicios de faltas entre los Juzgados de Instrucción y los Juzgad</w:t>
      </w:r>
      <w:r w:rsidR="00900C05" w:rsidRPr="007A1BBA">
        <w:rPr>
          <w:rFonts w:ascii="Calibri" w:hAnsi="Calibri" w:cs="Arial"/>
          <w:sz w:val="22"/>
        </w:rPr>
        <w:t xml:space="preserve">os de Violencia sobre la Mujer). </w:t>
      </w:r>
    </w:p>
    <w:p w:rsidR="003453C9" w:rsidRPr="007A1BBA" w:rsidRDefault="00021429" w:rsidP="007A1BBA">
      <w:pPr>
        <w:pStyle w:val="Prrafodelista"/>
        <w:numPr>
          <w:ilvl w:val="0"/>
          <w:numId w:val="7"/>
        </w:numPr>
        <w:spacing w:before="240" w:after="120"/>
        <w:jc w:val="both"/>
        <w:rPr>
          <w:rFonts w:ascii="Calibri" w:hAnsi="Calibri" w:cs="Arial"/>
          <w:sz w:val="22"/>
        </w:rPr>
      </w:pPr>
      <w:r w:rsidRPr="007A1BBA">
        <w:rPr>
          <w:rFonts w:ascii="Calibri" w:hAnsi="Calibri" w:cs="Arial"/>
          <w:sz w:val="22"/>
        </w:rPr>
        <w:t>Diligencias urgentes, se</w:t>
      </w:r>
      <w:r w:rsidR="00417D99" w:rsidRPr="007A1BBA">
        <w:rPr>
          <w:rFonts w:ascii="Calibri" w:hAnsi="Calibri" w:cs="Arial"/>
          <w:sz w:val="22"/>
        </w:rPr>
        <w:t xml:space="preserve"> debería </w:t>
      </w:r>
      <w:r w:rsidRPr="007A1BBA">
        <w:rPr>
          <w:rFonts w:ascii="Calibri" w:hAnsi="Calibri" w:cs="Arial"/>
          <w:sz w:val="22"/>
        </w:rPr>
        <w:t>computa</w:t>
      </w:r>
      <w:r w:rsidR="00417D99" w:rsidRPr="007A1BBA">
        <w:rPr>
          <w:rFonts w:ascii="Calibri" w:hAnsi="Calibri" w:cs="Arial"/>
          <w:sz w:val="22"/>
        </w:rPr>
        <w:t xml:space="preserve">r </w:t>
      </w:r>
      <w:r w:rsidRPr="007A1BBA">
        <w:rPr>
          <w:rFonts w:ascii="Calibri" w:hAnsi="Calibri" w:cs="Arial"/>
          <w:sz w:val="22"/>
        </w:rPr>
        <w:t xml:space="preserve">únicamente las que concluyen por la vía prevista en los artículos 800 y ss. de la Ley de Enjuiciamiento Criminal, puesto que de otro modo </w:t>
      </w:r>
      <w:r w:rsidR="005D7924" w:rsidRPr="007A1BBA">
        <w:rPr>
          <w:rFonts w:ascii="Calibri" w:hAnsi="Calibri" w:cs="Arial"/>
          <w:sz w:val="22"/>
        </w:rPr>
        <w:t>dichos procedimientos se computan como diligencias previas</w:t>
      </w:r>
      <w:r w:rsidR="00D6175B" w:rsidRPr="007A1BBA">
        <w:rPr>
          <w:rFonts w:ascii="Calibri" w:hAnsi="Calibri" w:cs="Arial"/>
          <w:sz w:val="22"/>
        </w:rPr>
        <w:t xml:space="preserve"> al transformase en las mismas</w:t>
      </w:r>
      <w:r w:rsidR="005D7924" w:rsidRPr="007A1BBA">
        <w:rPr>
          <w:rFonts w:ascii="Calibri" w:hAnsi="Calibri" w:cs="Arial"/>
          <w:sz w:val="22"/>
        </w:rPr>
        <w:t xml:space="preserve">. Esto supone que deben contabilizarse los 100.632 asuntos que culminan con sentencias de conformidad y los procedimientos respecto de los que se abre Juicio oral ante el Juzgado de lo Penal – se computan dentro de los procesos tramitados ante dicho órgano. </w:t>
      </w:r>
    </w:p>
    <w:p w:rsidR="006B55A0" w:rsidRPr="007A1BBA" w:rsidRDefault="00A872DD" w:rsidP="007A1BBA">
      <w:pPr>
        <w:pStyle w:val="Prrafodelista"/>
        <w:numPr>
          <w:ilvl w:val="0"/>
          <w:numId w:val="7"/>
        </w:numPr>
        <w:spacing w:before="240" w:after="120"/>
        <w:jc w:val="both"/>
        <w:rPr>
          <w:rFonts w:ascii="Calibri" w:hAnsi="Calibri" w:cs="Arial"/>
          <w:sz w:val="22"/>
        </w:rPr>
      </w:pPr>
      <w:r w:rsidRPr="007A1BBA">
        <w:rPr>
          <w:rFonts w:ascii="Calibri" w:hAnsi="Calibri" w:cs="Arial"/>
          <w:sz w:val="22"/>
        </w:rPr>
        <w:t>La cifra de</w:t>
      </w:r>
      <w:r w:rsidR="00CA2C41" w:rsidRPr="007A1BBA">
        <w:rPr>
          <w:rFonts w:ascii="Calibri" w:hAnsi="Calibri" w:cs="Arial"/>
          <w:sz w:val="22"/>
        </w:rPr>
        <w:t xml:space="preserve"> diligencias </w:t>
      </w:r>
      <w:r w:rsidR="008E660D" w:rsidRPr="007A1BBA">
        <w:rPr>
          <w:rFonts w:ascii="Calibri" w:hAnsi="Calibri" w:cs="Arial"/>
          <w:sz w:val="22"/>
        </w:rPr>
        <w:t>previas</w:t>
      </w:r>
      <w:r w:rsidR="0016390E" w:rsidRPr="007A1BBA">
        <w:rPr>
          <w:rFonts w:ascii="Calibri" w:hAnsi="Calibri" w:cs="Arial"/>
          <w:sz w:val="22"/>
        </w:rPr>
        <w:t xml:space="preserve"> </w:t>
      </w:r>
      <w:r w:rsidR="006B55A0" w:rsidRPr="007A1BBA">
        <w:rPr>
          <w:rFonts w:ascii="Calibri" w:hAnsi="Calibri" w:cs="Arial"/>
          <w:sz w:val="22"/>
        </w:rPr>
        <w:t>supone el 70% de la carga de trabajo del Orden Penal (</w:t>
      </w:r>
      <w:r w:rsidR="008E660D" w:rsidRPr="007A1BBA">
        <w:rPr>
          <w:rFonts w:ascii="Calibri" w:hAnsi="Calibri" w:cs="Arial"/>
          <w:color w:val="000000"/>
          <w:sz w:val="22"/>
          <w:lang w:eastAsia="es-ES"/>
        </w:rPr>
        <w:t>4.394.044</w:t>
      </w:r>
      <w:r w:rsidR="006B55A0" w:rsidRPr="007A1BBA">
        <w:rPr>
          <w:rFonts w:ascii="Calibri" w:hAnsi="Calibri" w:cs="Arial"/>
          <w:color w:val="000000"/>
          <w:sz w:val="22"/>
          <w:lang w:eastAsia="es-ES"/>
        </w:rPr>
        <w:t xml:space="preserve">) conforme a la estadística judicial. Se trata de una institución que sólo puede ser computada si </w:t>
      </w:r>
      <w:r w:rsidR="000F69EC" w:rsidRPr="007A1BBA">
        <w:rPr>
          <w:rFonts w:ascii="Calibri" w:hAnsi="Calibri" w:cs="Arial"/>
          <w:color w:val="000000"/>
          <w:sz w:val="22"/>
          <w:lang w:eastAsia="es-ES"/>
        </w:rPr>
        <w:t xml:space="preserve">se produce la formación del procedimiento abreviado y esto ya son computados como tales. Además, de la naturaleza jurídica de las diligencias – que no pueden ser consideradas como un “asunto” en términos procesales – es significativo el elevadísimo número de resoluciones de sobreseimiento (3.271.948) que son dictadas, lo cual es el elemento fundamental para neutralizar cualquier relevancia del número de diligencias previas. </w:t>
      </w:r>
    </w:p>
    <w:p w:rsidR="00A1376F" w:rsidRPr="007A1BBA" w:rsidRDefault="00A1376F" w:rsidP="007A1BBA">
      <w:pPr>
        <w:pStyle w:val="Prrafodelista"/>
        <w:numPr>
          <w:ilvl w:val="0"/>
          <w:numId w:val="7"/>
        </w:numPr>
        <w:spacing w:before="240" w:after="120"/>
        <w:jc w:val="both"/>
        <w:rPr>
          <w:rFonts w:ascii="Calibri" w:hAnsi="Calibri" w:cs="Arial"/>
          <w:sz w:val="22"/>
        </w:rPr>
      </w:pPr>
      <w:r w:rsidRPr="007A1BBA">
        <w:rPr>
          <w:rFonts w:ascii="Calibri" w:hAnsi="Calibri" w:cs="Arial"/>
          <w:sz w:val="22"/>
        </w:rPr>
        <w:t xml:space="preserve">De los procedimientos </w:t>
      </w:r>
      <w:r w:rsidR="00DF4E47" w:rsidRPr="007A1BBA">
        <w:rPr>
          <w:rFonts w:ascii="Calibri" w:hAnsi="Calibri" w:cs="Arial"/>
          <w:sz w:val="22"/>
        </w:rPr>
        <w:t>abreviados (</w:t>
      </w:r>
      <w:r w:rsidRPr="007A1BBA">
        <w:rPr>
          <w:rFonts w:ascii="Calibri" w:hAnsi="Calibri" w:cs="Arial"/>
          <w:color w:val="000000"/>
          <w:sz w:val="22"/>
        </w:rPr>
        <w:t>235.153</w:t>
      </w:r>
      <w:r w:rsidR="00DF4E47" w:rsidRPr="007A1BBA">
        <w:rPr>
          <w:rFonts w:ascii="Calibri" w:hAnsi="Calibri" w:cs="Arial"/>
          <w:color w:val="000000"/>
          <w:sz w:val="22"/>
        </w:rPr>
        <w:t xml:space="preserve">) deben excluirse aquellos que pasan a la fase de </w:t>
      </w:r>
      <w:r w:rsidR="00936FC0" w:rsidRPr="007A1BBA">
        <w:rPr>
          <w:rFonts w:ascii="Calibri" w:hAnsi="Calibri" w:cs="Arial"/>
          <w:color w:val="000000"/>
          <w:sz w:val="22"/>
        </w:rPr>
        <w:t xml:space="preserve">Juicio Oral (190.297), puesto que en estos casos la estadística está computando los asuntos con duplicidad. </w:t>
      </w:r>
    </w:p>
    <w:p w:rsidR="00417D99" w:rsidRPr="007A1BBA" w:rsidRDefault="00417D99" w:rsidP="007A1BBA">
      <w:pPr>
        <w:pStyle w:val="Prrafodelista"/>
        <w:numPr>
          <w:ilvl w:val="0"/>
          <w:numId w:val="7"/>
        </w:numPr>
        <w:spacing w:before="240" w:after="120"/>
        <w:jc w:val="both"/>
        <w:rPr>
          <w:rFonts w:ascii="Calibri" w:hAnsi="Calibri" w:cs="Arial"/>
          <w:sz w:val="22"/>
        </w:rPr>
      </w:pPr>
      <w:r w:rsidRPr="007A1BBA">
        <w:rPr>
          <w:rFonts w:ascii="Calibri" w:hAnsi="Calibri" w:cs="Arial"/>
          <w:sz w:val="22"/>
        </w:rPr>
        <w:t xml:space="preserve">181.000 procedimientos abreviados ante el Juzgado de lo Penal. </w:t>
      </w:r>
    </w:p>
    <w:p w:rsidR="00417D99" w:rsidRPr="007A1BBA" w:rsidRDefault="00417D99" w:rsidP="007A1BBA">
      <w:pPr>
        <w:pStyle w:val="Prrafodelista"/>
        <w:numPr>
          <w:ilvl w:val="0"/>
          <w:numId w:val="7"/>
        </w:numPr>
        <w:spacing w:before="240" w:after="120"/>
        <w:jc w:val="both"/>
        <w:rPr>
          <w:rFonts w:ascii="Calibri" w:hAnsi="Calibri" w:cs="Arial"/>
          <w:sz w:val="22"/>
        </w:rPr>
      </w:pPr>
      <w:r w:rsidRPr="007A1BBA">
        <w:rPr>
          <w:rFonts w:ascii="Calibri" w:hAnsi="Calibri" w:cs="Arial"/>
          <w:sz w:val="22"/>
        </w:rPr>
        <w:t>9.297 procesos</w:t>
      </w:r>
      <w:r w:rsidR="00DF4E47" w:rsidRPr="007A1BBA">
        <w:rPr>
          <w:rFonts w:ascii="Calibri" w:hAnsi="Calibri" w:cs="Arial"/>
          <w:sz w:val="22"/>
        </w:rPr>
        <w:t xml:space="preserve"> (abreviados, ordinarios y Jurado)</w:t>
      </w:r>
      <w:r w:rsidRPr="007A1BBA">
        <w:rPr>
          <w:rFonts w:ascii="Calibri" w:hAnsi="Calibri" w:cs="Arial"/>
          <w:sz w:val="22"/>
        </w:rPr>
        <w:t xml:space="preserve"> ante la Audiencia Provincial. </w:t>
      </w:r>
    </w:p>
    <w:p w:rsidR="00005219" w:rsidRPr="007A1BBA" w:rsidRDefault="00005219" w:rsidP="007A1BBA">
      <w:pPr>
        <w:pStyle w:val="Prrafodelista"/>
        <w:numPr>
          <w:ilvl w:val="0"/>
          <w:numId w:val="7"/>
        </w:numPr>
        <w:spacing w:before="240" w:after="120"/>
        <w:jc w:val="both"/>
        <w:rPr>
          <w:rFonts w:ascii="Calibri" w:hAnsi="Calibri" w:cs="Arial"/>
          <w:sz w:val="22"/>
        </w:rPr>
      </w:pPr>
      <w:r w:rsidRPr="007A1BBA">
        <w:rPr>
          <w:rFonts w:ascii="Calibri" w:hAnsi="Calibri" w:cs="Arial"/>
          <w:sz w:val="22"/>
        </w:rPr>
        <w:t xml:space="preserve">466 procesos ante órganos de la Audiencia Nacional. </w:t>
      </w:r>
    </w:p>
    <w:p w:rsidR="00DB7AFD" w:rsidRPr="007A1BBA" w:rsidRDefault="00DB7AFD" w:rsidP="007A1BBA">
      <w:pPr>
        <w:pStyle w:val="Prrafodelista"/>
        <w:numPr>
          <w:ilvl w:val="0"/>
          <w:numId w:val="7"/>
        </w:numPr>
        <w:spacing w:before="240" w:after="120"/>
        <w:jc w:val="both"/>
        <w:rPr>
          <w:rFonts w:ascii="Calibri" w:hAnsi="Calibri" w:cs="Arial"/>
          <w:sz w:val="22"/>
        </w:rPr>
      </w:pPr>
      <w:r w:rsidRPr="007A1BBA">
        <w:rPr>
          <w:rFonts w:ascii="Calibri" w:hAnsi="Calibri" w:cs="Arial"/>
          <w:sz w:val="22"/>
        </w:rPr>
        <w:t xml:space="preserve">572 procesos ante el Tribunal Superior de Justicia. </w:t>
      </w:r>
    </w:p>
    <w:p w:rsidR="00005219" w:rsidRPr="007A1BBA" w:rsidRDefault="00DB7AFD" w:rsidP="007A1BBA">
      <w:pPr>
        <w:pStyle w:val="Prrafodelista"/>
        <w:numPr>
          <w:ilvl w:val="0"/>
          <w:numId w:val="7"/>
        </w:numPr>
        <w:spacing w:before="240" w:after="120"/>
        <w:jc w:val="both"/>
        <w:rPr>
          <w:rFonts w:ascii="Calibri" w:hAnsi="Calibri" w:cs="Arial"/>
          <w:sz w:val="22"/>
        </w:rPr>
      </w:pPr>
      <w:r w:rsidRPr="007A1BBA">
        <w:rPr>
          <w:rFonts w:ascii="Calibri" w:hAnsi="Calibri" w:cs="Arial"/>
          <w:sz w:val="22"/>
        </w:rPr>
        <w:t xml:space="preserve">103 procesos ante la Sala Segunda del Tribunal Supremo. </w:t>
      </w:r>
    </w:p>
    <w:p w:rsidR="00546403" w:rsidRPr="007A1BBA" w:rsidRDefault="00546403" w:rsidP="007A1BBA">
      <w:pPr>
        <w:pStyle w:val="Prrafodelista"/>
        <w:numPr>
          <w:ilvl w:val="0"/>
          <w:numId w:val="7"/>
        </w:numPr>
        <w:spacing w:before="240" w:after="120"/>
        <w:jc w:val="both"/>
        <w:rPr>
          <w:rFonts w:ascii="Calibri" w:hAnsi="Calibri" w:cs="Arial"/>
          <w:sz w:val="22"/>
        </w:rPr>
      </w:pPr>
      <w:r w:rsidRPr="007A1BBA">
        <w:rPr>
          <w:rFonts w:ascii="Calibri" w:hAnsi="Calibri" w:cs="Arial"/>
          <w:sz w:val="22"/>
        </w:rPr>
        <w:t xml:space="preserve">En relación con los recursos devolutivos se excluiría su cómputo como nuevos “asuntos”, puesto que debe considerarse </w:t>
      </w:r>
      <w:r w:rsidR="004C7881" w:rsidRPr="007A1BBA">
        <w:rPr>
          <w:rFonts w:ascii="Calibri" w:hAnsi="Calibri" w:cs="Arial"/>
          <w:sz w:val="22"/>
        </w:rPr>
        <w:t xml:space="preserve">que se trata de un proceso único con diversas fases ante distintos órganos jurisdiccionales. </w:t>
      </w:r>
    </w:p>
    <w:p w:rsidR="00FD4179" w:rsidRPr="007A1BBA" w:rsidRDefault="008B0284" w:rsidP="00F85B83">
      <w:pPr>
        <w:jc w:val="both"/>
        <w:rPr>
          <w:rFonts w:ascii="Calibri" w:hAnsi="Calibri" w:cs="Arial"/>
          <w:sz w:val="22"/>
        </w:rPr>
      </w:pPr>
      <w:r w:rsidRPr="007A1BBA">
        <w:rPr>
          <w:rFonts w:ascii="Calibri" w:hAnsi="Calibri" w:cs="Arial"/>
          <w:sz w:val="22"/>
        </w:rPr>
        <w:t>Esto harí</w:t>
      </w:r>
      <w:r w:rsidR="007B56A8" w:rsidRPr="007A1BBA">
        <w:rPr>
          <w:rFonts w:ascii="Calibri" w:hAnsi="Calibri" w:cs="Arial"/>
          <w:sz w:val="22"/>
        </w:rPr>
        <w:t xml:space="preserve">a un total de </w:t>
      </w:r>
      <w:r w:rsidR="0034276B" w:rsidRPr="007A1BBA">
        <w:rPr>
          <w:rFonts w:ascii="Calibri" w:hAnsi="Calibri" w:cs="Arial"/>
          <w:sz w:val="22"/>
        </w:rPr>
        <w:t>717.559</w:t>
      </w:r>
      <w:r w:rsidR="00F543F5" w:rsidRPr="007A1BBA">
        <w:rPr>
          <w:rFonts w:ascii="Calibri" w:hAnsi="Calibri" w:cs="Arial"/>
          <w:sz w:val="22"/>
        </w:rPr>
        <w:t xml:space="preserve"> asuntos en los que existe </w:t>
      </w:r>
      <w:r w:rsidR="0034276B" w:rsidRPr="007A1BBA">
        <w:rPr>
          <w:rFonts w:ascii="Calibri" w:hAnsi="Calibri" w:cs="Arial"/>
          <w:sz w:val="22"/>
        </w:rPr>
        <w:t xml:space="preserve">actividad jurisdiccional </w:t>
      </w:r>
      <w:r w:rsidR="00F543F5" w:rsidRPr="007A1BBA">
        <w:rPr>
          <w:rFonts w:ascii="Calibri" w:hAnsi="Calibri" w:cs="Arial"/>
          <w:sz w:val="22"/>
        </w:rPr>
        <w:t xml:space="preserve">de cierta relevancia, </w:t>
      </w:r>
      <w:r w:rsidR="001439D0" w:rsidRPr="007A1BBA">
        <w:rPr>
          <w:rFonts w:ascii="Calibri" w:hAnsi="Calibri" w:cs="Arial"/>
          <w:sz w:val="22"/>
        </w:rPr>
        <w:t xml:space="preserve">cifra </w:t>
      </w:r>
      <w:r w:rsidR="00F543F5" w:rsidRPr="007A1BBA">
        <w:rPr>
          <w:rFonts w:ascii="Calibri" w:hAnsi="Calibri" w:cs="Arial"/>
          <w:sz w:val="22"/>
        </w:rPr>
        <w:t>muy alejad</w:t>
      </w:r>
      <w:r w:rsidR="001439D0" w:rsidRPr="007A1BBA">
        <w:rPr>
          <w:rFonts w:ascii="Calibri" w:hAnsi="Calibri" w:cs="Arial"/>
          <w:sz w:val="22"/>
        </w:rPr>
        <w:t>a de las q</w:t>
      </w:r>
      <w:r w:rsidR="00F543F5" w:rsidRPr="007A1BBA">
        <w:rPr>
          <w:rFonts w:ascii="Calibri" w:hAnsi="Calibri" w:cs="Arial"/>
          <w:sz w:val="22"/>
        </w:rPr>
        <w:t xml:space="preserve">ue ofrece </w:t>
      </w:r>
      <w:r w:rsidR="007B56A8" w:rsidRPr="007A1BBA">
        <w:rPr>
          <w:rFonts w:ascii="Calibri" w:hAnsi="Calibri" w:cs="Arial"/>
          <w:sz w:val="22"/>
        </w:rPr>
        <w:t>la Memoria del Cons</w:t>
      </w:r>
      <w:r w:rsidR="001439D0" w:rsidRPr="007A1BBA">
        <w:rPr>
          <w:rFonts w:ascii="Calibri" w:hAnsi="Calibri" w:cs="Arial"/>
          <w:sz w:val="22"/>
        </w:rPr>
        <w:t>ejo General del Poder Judicial</w:t>
      </w:r>
      <w:r w:rsidR="000476CF" w:rsidRPr="007A1BBA">
        <w:rPr>
          <w:rFonts w:ascii="Calibri" w:hAnsi="Calibri" w:cs="Arial"/>
          <w:sz w:val="22"/>
        </w:rPr>
        <w:t xml:space="preserve"> y cuya inconsistencia está fundada, en primer lugar, en el momento de recoger los </w:t>
      </w:r>
      <w:r w:rsidR="000476CF" w:rsidRPr="007A1BBA">
        <w:rPr>
          <w:rFonts w:ascii="Calibri" w:hAnsi="Calibri" w:cs="Arial"/>
          <w:sz w:val="22"/>
        </w:rPr>
        <w:lastRenderedPageBreak/>
        <w:t xml:space="preserve">datos estadísticos en los órganos judiciales y, en segundo, lugar en la interpretación que de los mismos hace la propia Memoria. </w:t>
      </w:r>
    </w:p>
    <w:p w:rsidR="0040624A" w:rsidRPr="007A1BBA" w:rsidRDefault="003F35DB" w:rsidP="0040624A">
      <w:pPr>
        <w:pStyle w:val="Ttulo1"/>
        <w:spacing w:before="240" w:after="120" w:line="276" w:lineRule="auto"/>
        <w:jc w:val="both"/>
        <w:rPr>
          <w:rFonts w:ascii="Calibri" w:hAnsi="Calibri" w:cs="Arial"/>
          <w:b/>
          <w:sz w:val="24"/>
          <w:szCs w:val="24"/>
          <w:u w:val="none"/>
          <w:lang w:eastAsia="es-ES"/>
        </w:rPr>
      </w:pPr>
      <w:bookmarkStart w:id="6" w:name="_Toc353566622"/>
      <w:bookmarkStart w:id="7" w:name="_Toc354555000"/>
      <w:r w:rsidRPr="007A1BBA">
        <w:rPr>
          <w:rFonts w:ascii="Calibri" w:hAnsi="Calibri" w:cs="Arial"/>
          <w:b/>
          <w:sz w:val="24"/>
          <w:szCs w:val="24"/>
          <w:u w:val="none"/>
          <w:lang w:eastAsia="es-ES"/>
        </w:rPr>
        <w:t>4) Breve referencia a l</w:t>
      </w:r>
      <w:bookmarkEnd w:id="6"/>
      <w:r w:rsidRPr="007A1BBA">
        <w:rPr>
          <w:rFonts w:ascii="Calibri" w:hAnsi="Calibri" w:cs="Arial"/>
          <w:b/>
          <w:sz w:val="24"/>
          <w:szCs w:val="24"/>
          <w:u w:val="none"/>
          <w:lang w:eastAsia="es-ES"/>
        </w:rPr>
        <w:t>a situ</w:t>
      </w:r>
      <w:r w:rsidR="005203C7" w:rsidRPr="007A1BBA">
        <w:rPr>
          <w:rFonts w:ascii="Calibri" w:hAnsi="Calibri" w:cs="Arial"/>
          <w:b/>
          <w:sz w:val="24"/>
          <w:szCs w:val="24"/>
          <w:u w:val="none"/>
          <w:lang w:eastAsia="es-ES"/>
        </w:rPr>
        <w:t>ación estadística de los órdenes jurisdiccionales Contencioso-administrativo y Social.</w:t>
      </w:r>
      <w:bookmarkEnd w:id="7"/>
      <w:r w:rsidR="005203C7" w:rsidRPr="007A1BBA">
        <w:rPr>
          <w:rFonts w:ascii="Calibri" w:hAnsi="Calibri" w:cs="Arial"/>
          <w:b/>
          <w:sz w:val="24"/>
          <w:szCs w:val="24"/>
          <w:u w:val="none"/>
          <w:lang w:eastAsia="es-ES"/>
        </w:rPr>
        <w:t xml:space="preserve"> </w:t>
      </w:r>
    </w:p>
    <w:p w:rsidR="00DC55F8" w:rsidRPr="007A1BBA" w:rsidRDefault="00AF21D8" w:rsidP="003F35DB">
      <w:pPr>
        <w:jc w:val="both"/>
        <w:rPr>
          <w:rFonts w:ascii="Calibri" w:hAnsi="Calibri" w:cs="Arial"/>
          <w:sz w:val="22"/>
        </w:rPr>
      </w:pPr>
      <w:r w:rsidRPr="007A1BBA">
        <w:rPr>
          <w:rFonts w:ascii="Calibri" w:hAnsi="Calibri" w:cs="Arial"/>
          <w:sz w:val="22"/>
        </w:rPr>
        <w:t xml:space="preserve">El porcentaje de “asuntos ingresados” que corresponde a los </w:t>
      </w:r>
      <w:r w:rsidR="00E847DA" w:rsidRPr="007A1BBA">
        <w:rPr>
          <w:rFonts w:ascii="Calibri" w:hAnsi="Calibri" w:cs="Arial"/>
          <w:sz w:val="22"/>
        </w:rPr>
        <w:t>órdenes jurisdiccionales Contencioso-administrativo (3,2%) y Social (4,8%)</w:t>
      </w:r>
      <w:r w:rsidRPr="007A1BBA">
        <w:rPr>
          <w:rFonts w:ascii="Calibri" w:hAnsi="Calibri" w:cs="Arial"/>
          <w:sz w:val="22"/>
        </w:rPr>
        <w:t xml:space="preserve"> sobre el total de la Jurisdicción implica que la relevancia de su análisis estadístico es reducida. A ello se le añade el hecho de que la recopilación y tratamiento de los datos en dichos ámbitos no se produce de modo tan irregular como en el ámbito civil o penal, quizás los procedimientos sean más sencillos y homogéneos y esto facilite la función estadística. </w:t>
      </w:r>
      <w:r w:rsidR="009F2CD8" w:rsidRPr="007A1BBA">
        <w:rPr>
          <w:rFonts w:ascii="Calibri" w:hAnsi="Calibri" w:cs="Arial"/>
          <w:sz w:val="22"/>
        </w:rPr>
        <w:t>No obstante, también hay que realizar alguna matizaci</w:t>
      </w:r>
      <w:r w:rsidR="008D5632" w:rsidRPr="007A1BBA">
        <w:rPr>
          <w:rFonts w:ascii="Calibri" w:hAnsi="Calibri" w:cs="Arial"/>
          <w:sz w:val="22"/>
        </w:rPr>
        <w:t xml:space="preserve">ón sobre las cifras recogidas en la Memoria del CGPJ sobre la situación en dichos órdenes jurisdiccionales. </w:t>
      </w:r>
    </w:p>
    <w:p w:rsidR="003F35DB" w:rsidRPr="007A1BBA" w:rsidRDefault="008D5632" w:rsidP="003F35DB">
      <w:pPr>
        <w:jc w:val="both"/>
        <w:rPr>
          <w:rFonts w:ascii="Calibri" w:hAnsi="Calibri" w:cs="Arial"/>
          <w:sz w:val="22"/>
        </w:rPr>
      </w:pPr>
      <w:r w:rsidRPr="007A1BBA">
        <w:rPr>
          <w:rFonts w:ascii="Calibri" w:hAnsi="Calibri" w:cs="Arial"/>
          <w:sz w:val="22"/>
        </w:rPr>
        <w:t xml:space="preserve">En el Orden Contencioso-administrativo la </w:t>
      </w:r>
      <w:r w:rsidR="003F35DB" w:rsidRPr="007A1BBA">
        <w:rPr>
          <w:rFonts w:ascii="Calibri" w:hAnsi="Calibri" w:cs="Arial"/>
          <w:sz w:val="22"/>
        </w:rPr>
        <w:t>finalización por sentencia supone, con carácter general, el 63,</w:t>
      </w:r>
      <w:r w:rsidR="007B664A">
        <w:rPr>
          <w:rFonts w:ascii="Calibri" w:hAnsi="Calibri" w:cs="Arial"/>
          <w:sz w:val="22"/>
        </w:rPr>
        <w:t>8</w:t>
      </w:r>
      <w:r w:rsidR="003F35DB" w:rsidRPr="007A1BBA">
        <w:rPr>
          <w:rFonts w:ascii="Calibri" w:hAnsi="Calibri" w:cs="Arial"/>
          <w:sz w:val="22"/>
        </w:rPr>
        <w:t>% de los “asuntos resueltos” de este Orden, mientras que el resto de procesos concluyen mediante auto (autos de inadmisión, caducidad, que recogen el desistimiento u “otros autos finales</w:t>
      </w:r>
      <w:r w:rsidRPr="007A1BBA">
        <w:rPr>
          <w:rFonts w:ascii="Calibri" w:hAnsi="Calibri" w:cs="Arial"/>
          <w:sz w:val="22"/>
        </w:rPr>
        <w:t>”</w:t>
      </w:r>
      <w:r w:rsidR="003F35DB" w:rsidRPr="007A1BBA">
        <w:rPr>
          <w:rFonts w:ascii="Calibri" w:hAnsi="Calibri" w:cs="Arial"/>
          <w:sz w:val="22"/>
        </w:rPr>
        <w:t>) o decreto (en térmi</w:t>
      </w:r>
      <w:r w:rsidRPr="007A1BBA">
        <w:rPr>
          <w:rFonts w:ascii="Calibri" w:hAnsi="Calibri" w:cs="Arial"/>
          <w:sz w:val="22"/>
        </w:rPr>
        <w:t>nos de la estadística judicial. Esto supone que en el 3</w:t>
      </w:r>
      <w:r w:rsidR="007B664A">
        <w:rPr>
          <w:rFonts w:ascii="Calibri" w:hAnsi="Calibri" w:cs="Arial"/>
          <w:sz w:val="22"/>
        </w:rPr>
        <w:t>6,1</w:t>
      </w:r>
      <w:r w:rsidRPr="007A1BBA">
        <w:rPr>
          <w:rFonts w:ascii="Calibri" w:hAnsi="Calibri" w:cs="Arial"/>
          <w:sz w:val="22"/>
        </w:rPr>
        <w:t xml:space="preserve">% de procesos la actividad jurisdiccional es o nula o muy reducida, lo que debería reflejarse en el modo de tratar los datos de asuntos tramitados ante dicho Orden jurisdiccional. </w:t>
      </w:r>
    </w:p>
    <w:p w:rsidR="00574CA8" w:rsidRPr="007A1BBA" w:rsidRDefault="00574CA8" w:rsidP="003F35DB">
      <w:pPr>
        <w:jc w:val="both"/>
        <w:rPr>
          <w:rFonts w:ascii="Calibri" w:hAnsi="Calibri" w:cs="Arial"/>
          <w:sz w:val="22"/>
        </w:rPr>
      </w:pPr>
      <w:r w:rsidRPr="007A1BBA">
        <w:rPr>
          <w:rFonts w:ascii="Calibri" w:hAnsi="Calibri" w:cs="Arial"/>
          <w:sz w:val="22"/>
        </w:rPr>
        <w:t xml:space="preserve">En el Orden Social, </w:t>
      </w:r>
      <w:r w:rsidR="00560260" w:rsidRPr="007A1BBA">
        <w:rPr>
          <w:rFonts w:ascii="Calibri" w:hAnsi="Calibri" w:cs="Arial"/>
          <w:sz w:val="22"/>
        </w:rPr>
        <w:t xml:space="preserve">se plantean unas cifras similares puesto que los “asuntos” concluyen de modo anticipado en el 34% de los casos, a </w:t>
      </w:r>
      <w:r w:rsidR="00BF747A" w:rsidRPr="007A1BBA">
        <w:rPr>
          <w:rFonts w:ascii="Calibri" w:hAnsi="Calibri" w:cs="Arial"/>
          <w:sz w:val="22"/>
        </w:rPr>
        <w:t>través</w:t>
      </w:r>
      <w:r w:rsidR="0031747D" w:rsidRPr="007A1BBA">
        <w:rPr>
          <w:rFonts w:ascii="Calibri" w:hAnsi="Calibri" w:cs="Arial"/>
          <w:sz w:val="22"/>
        </w:rPr>
        <w:t xml:space="preserve"> de decretos dictados en actos de conciliación u otros autos y decretos “finales”. </w:t>
      </w:r>
    </w:p>
    <w:p w:rsidR="00FD4179" w:rsidRPr="007A1BBA" w:rsidRDefault="0031747D" w:rsidP="003F35DB">
      <w:pPr>
        <w:jc w:val="both"/>
        <w:rPr>
          <w:rFonts w:ascii="Calibri" w:hAnsi="Calibri" w:cs="Arial"/>
          <w:sz w:val="22"/>
        </w:rPr>
      </w:pPr>
      <w:r w:rsidRPr="007A1BBA">
        <w:rPr>
          <w:rFonts w:ascii="Calibri" w:hAnsi="Calibri" w:cs="Arial"/>
          <w:sz w:val="22"/>
        </w:rPr>
        <w:t>En ambos casos, las cifras de la Memor</w:t>
      </w:r>
      <w:r w:rsidR="00140E16" w:rsidRPr="007A1BBA">
        <w:rPr>
          <w:rFonts w:ascii="Calibri" w:hAnsi="Calibri" w:cs="Arial"/>
          <w:sz w:val="22"/>
        </w:rPr>
        <w:t xml:space="preserve">ia del CGPJ deben ser matizadas, puesto que un porcentaje sensible de asuntos deberían ser </w:t>
      </w:r>
      <w:proofErr w:type="gramStart"/>
      <w:r w:rsidR="00346405" w:rsidRPr="007A1BBA">
        <w:rPr>
          <w:rFonts w:ascii="Calibri" w:hAnsi="Calibri" w:cs="Arial"/>
          <w:sz w:val="22"/>
        </w:rPr>
        <w:t>sometidas</w:t>
      </w:r>
      <w:proofErr w:type="gramEnd"/>
      <w:r w:rsidR="00346405" w:rsidRPr="007A1BBA">
        <w:rPr>
          <w:rFonts w:ascii="Calibri" w:hAnsi="Calibri" w:cs="Arial"/>
          <w:sz w:val="22"/>
        </w:rPr>
        <w:t xml:space="preserve"> a revisi</w:t>
      </w:r>
      <w:r w:rsidR="00E9297F" w:rsidRPr="007A1BBA">
        <w:rPr>
          <w:rFonts w:ascii="Calibri" w:hAnsi="Calibri" w:cs="Arial"/>
          <w:sz w:val="22"/>
        </w:rPr>
        <w:t xml:space="preserve">ón, </w:t>
      </w:r>
      <w:r w:rsidR="0044438F" w:rsidRPr="007A1BBA">
        <w:rPr>
          <w:rFonts w:ascii="Calibri" w:hAnsi="Calibri" w:cs="Arial"/>
          <w:sz w:val="22"/>
        </w:rPr>
        <w:t xml:space="preserve">discriminando los datos ofrecidos partiendo de si los procedimientos son o no tramitados hasta la sentencia. </w:t>
      </w:r>
    </w:p>
    <w:p w:rsidR="0044438F" w:rsidRPr="007A1BBA" w:rsidRDefault="0044438F" w:rsidP="00FC3B84">
      <w:pPr>
        <w:pStyle w:val="Ttulo1"/>
        <w:spacing w:before="240" w:after="120"/>
        <w:jc w:val="both"/>
        <w:rPr>
          <w:rFonts w:ascii="Calibri" w:hAnsi="Calibri" w:cs="Arial"/>
          <w:b/>
          <w:sz w:val="24"/>
          <w:szCs w:val="24"/>
          <w:u w:val="none"/>
        </w:rPr>
      </w:pPr>
      <w:bookmarkStart w:id="8" w:name="_Toc354555001"/>
      <w:bookmarkStart w:id="9" w:name="_Toc353566600"/>
      <w:r w:rsidRPr="007A1BBA">
        <w:rPr>
          <w:rFonts w:ascii="Calibri" w:hAnsi="Calibri" w:cs="Arial"/>
          <w:b/>
          <w:sz w:val="24"/>
          <w:szCs w:val="24"/>
          <w:u w:val="none"/>
        </w:rPr>
        <w:t xml:space="preserve">5) </w:t>
      </w:r>
      <w:r w:rsidR="00667402" w:rsidRPr="007A1BBA">
        <w:rPr>
          <w:rFonts w:ascii="Calibri" w:hAnsi="Calibri" w:cs="Arial"/>
          <w:b/>
          <w:sz w:val="24"/>
          <w:szCs w:val="24"/>
          <w:u w:val="none"/>
        </w:rPr>
        <w:t>Conclusiones</w:t>
      </w:r>
      <w:bookmarkEnd w:id="8"/>
      <w:r w:rsidR="007A1BBA" w:rsidRPr="007A1BBA">
        <w:rPr>
          <w:rFonts w:ascii="Calibri" w:hAnsi="Calibri" w:cs="Arial"/>
          <w:b/>
          <w:sz w:val="24"/>
          <w:szCs w:val="24"/>
          <w:u w:val="none"/>
        </w:rPr>
        <w:t>:</w:t>
      </w:r>
      <w:r w:rsidR="00667402" w:rsidRPr="007A1BBA">
        <w:rPr>
          <w:rFonts w:ascii="Calibri" w:hAnsi="Calibri" w:cs="Arial"/>
          <w:b/>
          <w:sz w:val="24"/>
          <w:szCs w:val="24"/>
          <w:u w:val="none"/>
        </w:rPr>
        <w:t xml:space="preserve"> </w:t>
      </w:r>
    </w:p>
    <w:p w:rsidR="00667402" w:rsidRPr="007A1BBA" w:rsidRDefault="00B17CB7" w:rsidP="007A1BBA">
      <w:pPr>
        <w:pStyle w:val="Prrafodelista"/>
        <w:numPr>
          <w:ilvl w:val="0"/>
          <w:numId w:val="8"/>
        </w:numPr>
        <w:jc w:val="both"/>
        <w:rPr>
          <w:rFonts w:ascii="Calibri" w:hAnsi="Calibri" w:cs="Arial"/>
          <w:sz w:val="22"/>
        </w:rPr>
      </w:pPr>
      <w:r w:rsidRPr="007A1BBA">
        <w:rPr>
          <w:rFonts w:ascii="Calibri" w:hAnsi="Calibri" w:cs="Arial"/>
          <w:sz w:val="22"/>
        </w:rPr>
        <w:t xml:space="preserve">El análisis de la situación de la Jurisdicción no es sencillo puesto que la recopilación de datos estadísticos se realiza de un modo defectuoso, con categorías muy vagas e imprecisas. </w:t>
      </w:r>
    </w:p>
    <w:p w:rsidR="00B17CB7" w:rsidRPr="007A1BBA" w:rsidRDefault="00B17CB7" w:rsidP="007A1BBA">
      <w:pPr>
        <w:pStyle w:val="Prrafodelista"/>
        <w:numPr>
          <w:ilvl w:val="0"/>
          <w:numId w:val="8"/>
        </w:numPr>
        <w:jc w:val="both"/>
        <w:rPr>
          <w:rFonts w:ascii="Calibri" w:hAnsi="Calibri" w:cs="Arial"/>
          <w:sz w:val="22"/>
        </w:rPr>
      </w:pPr>
      <w:r w:rsidRPr="007A1BBA">
        <w:rPr>
          <w:rFonts w:ascii="Calibri" w:hAnsi="Calibri" w:cs="Arial"/>
          <w:sz w:val="22"/>
        </w:rPr>
        <w:t xml:space="preserve">La exposición de los datos de la estadística judicial contenida anualmente  en la Memoria del Consejo General del Poder Judicial adolece de una palmaria </w:t>
      </w:r>
      <w:r w:rsidRPr="007A1BBA">
        <w:rPr>
          <w:rFonts w:ascii="Calibri" w:hAnsi="Calibri" w:cs="Arial"/>
          <w:sz w:val="22"/>
        </w:rPr>
        <w:lastRenderedPageBreak/>
        <w:t xml:space="preserve">superficialidad y una carencia absoluta de examen procesal de los datos ofrecidos en unas categorías tan generales como ineficientes. </w:t>
      </w:r>
    </w:p>
    <w:p w:rsidR="00C61F09" w:rsidRPr="007A1BBA" w:rsidRDefault="00C61F09" w:rsidP="007A1BBA">
      <w:pPr>
        <w:pStyle w:val="Prrafodelista"/>
        <w:numPr>
          <w:ilvl w:val="0"/>
          <w:numId w:val="8"/>
        </w:numPr>
        <w:jc w:val="both"/>
        <w:rPr>
          <w:rFonts w:ascii="Calibri" w:hAnsi="Calibri" w:cs="Arial"/>
          <w:sz w:val="22"/>
        </w:rPr>
      </w:pPr>
      <w:r w:rsidRPr="007A1BBA">
        <w:rPr>
          <w:rFonts w:ascii="Calibri" w:hAnsi="Calibri" w:cs="Arial"/>
          <w:sz w:val="22"/>
        </w:rPr>
        <w:t xml:space="preserve">La cifra total de “asuntos ingresados” y de “asuntos resueltos” que ofrece la mencionada memoria es insostenible si se aplican unos criterios mínimos de ortodoxia procesal. </w:t>
      </w:r>
    </w:p>
    <w:p w:rsidR="00C61F09" w:rsidRPr="007A1BBA" w:rsidRDefault="00464CCA" w:rsidP="007A1BBA">
      <w:pPr>
        <w:pStyle w:val="Prrafodelista"/>
        <w:numPr>
          <w:ilvl w:val="0"/>
          <w:numId w:val="8"/>
        </w:numPr>
        <w:jc w:val="both"/>
        <w:rPr>
          <w:rFonts w:ascii="Calibri" w:hAnsi="Calibri" w:cs="Arial"/>
          <w:sz w:val="22"/>
        </w:rPr>
      </w:pPr>
      <w:r w:rsidRPr="007A1BBA">
        <w:rPr>
          <w:rFonts w:ascii="Calibri" w:hAnsi="Calibri" w:cs="Arial"/>
          <w:sz w:val="22"/>
        </w:rPr>
        <w:t xml:space="preserve">Así, con carácter general, </w:t>
      </w:r>
      <w:r w:rsidR="00915846" w:rsidRPr="007A1BBA">
        <w:rPr>
          <w:rFonts w:ascii="Calibri" w:hAnsi="Calibri" w:cs="Arial"/>
          <w:sz w:val="22"/>
        </w:rPr>
        <w:t>en la variable de “asuntos ingresados” se incluyen</w:t>
      </w:r>
      <w:r w:rsidR="00104B3E" w:rsidRPr="007A1BBA">
        <w:rPr>
          <w:rFonts w:ascii="Calibri" w:hAnsi="Calibri" w:cs="Arial"/>
          <w:sz w:val="22"/>
        </w:rPr>
        <w:t xml:space="preserve">: </w:t>
      </w:r>
      <w:r w:rsidR="00915846" w:rsidRPr="007A1BBA">
        <w:rPr>
          <w:rFonts w:ascii="Calibri" w:hAnsi="Calibri" w:cs="Arial"/>
          <w:sz w:val="22"/>
        </w:rPr>
        <w:t>procedimientos que carecen de carácter jurisdiccional</w:t>
      </w:r>
      <w:r w:rsidR="00104B3E" w:rsidRPr="007A1BBA">
        <w:rPr>
          <w:rFonts w:ascii="Calibri" w:hAnsi="Calibri" w:cs="Arial"/>
          <w:sz w:val="22"/>
        </w:rPr>
        <w:t xml:space="preserve"> o con una tramitación sencilla ; </w:t>
      </w:r>
      <w:r w:rsidR="00915846" w:rsidRPr="007A1BBA">
        <w:rPr>
          <w:rFonts w:ascii="Calibri" w:hAnsi="Calibri" w:cs="Arial"/>
          <w:sz w:val="22"/>
        </w:rPr>
        <w:t>otros atribuidos a personal no jurisdiccional</w:t>
      </w:r>
      <w:r w:rsidR="00104B3E" w:rsidRPr="007A1BBA">
        <w:rPr>
          <w:rFonts w:ascii="Calibri" w:hAnsi="Calibri" w:cs="Arial"/>
          <w:sz w:val="22"/>
        </w:rPr>
        <w:t xml:space="preserve">; </w:t>
      </w:r>
      <w:r w:rsidR="00915846" w:rsidRPr="007A1BBA">
        <w:rPr>
          <w:rFonts w:ascii="Calibri" w:hAnsi="Calibri" w:cs="Arial"/>
          <w:sz w:val="22"/>
        </w:rPr>
        <w:t>incidentes que son trámites accesorios de otro procedimiento principal</w:t>
      </w:r>
      <w:r w:rsidR="00104B3E" w:rsidRPr="007A1BBA">
        <w:rPr>
          <w:rFonts w:ascii="Calibri" w:hAnsi="Calibri" w:cs="Arial"/>
          <w:sz w:val="22"/>
        </w:rPr>
        <w:t xml:space="preserve">; </w:t>
      </w:r>
      <w:r w:rsidR="00915846" w:rsidRPr="007A1BBA">
        <w:rPr>
          <w:rFonts w:ascii="Calibri" w:hAnsi="Calibri" w:cs="Arial"/>
          <w:sz w:val="22"/>
        </w:rPr>
        <w:t xml:space="preserve">procedimientos duplicados, las fases de un mismo procedimiento son computadas como distintos “asuntos ingresados” – el ejemplo más palmario es lo que sucede en el cómputo de asuntos penales con la fase de instrucción o la tramitación de los recursos devolutivos – nuevo “asunto” a efectos de la estadística judicial –. </w:t>
      </w:r>
      <w:r w:rsidR="000C0BE8" w:rsidRPr="007A1BBA">
        <w:rPr>
          <w:rFonts w:ascii="Calibri" w:hAnsi="Calibri" w:cs="Arial"/>
          <w:sz w:val="22"/>
        </w:rPr>
        <w:t xml:space="preserve">La depuración de dichos defectos puede llevar a afirmar que el número de “asuntos ingresados” estaría por </w:t>
      </w:r>
      <w:r w:rsidR="00752439" w:rsidRPr="007A1BBA">
        <w:rPr>
          <w:rFonts w:ascii="Calibri" w:hAnsi="Calibri" w:cs="Arial"/>
          <w:sz w:val="22"/>
        </w:rPr>
        <w:t xml:space="preserve">muy por </w:t>
      </w:r>
      <w:r w:rsidR="000C0BE8" w:rsidRPr="007A1BBA">
        <w:rPr>
          <w:rFonts w:ascii="Calibri" w:hAnsi="Calibri" w:cs="Arial"/>
          <w:sz w:val="22"/>
        </w:rPr>
        <w:t>debajo de</w:t>
      </w:r>
      <w:r w:rsidR="00752439" w:rsidRPr="007A1BBA">
        <w:rPr>
          <w:rFonts w:ascii="Calibri" w:hAnsi="Calibri" w:cs="Arial"/>
          <w:sz w:val="22"/>
        </w:rPr>
        <w:t xml:space="preserve"> </w:t>
      </w:r>
      <w:r w:rsidR="000C0BE8" w:rsidRPr="007A1BBA">
        <w:rPr>
          <w:rFonts w:ascii="Calibri" w:hAnsi="Calibri" w:cs="Arial"/>
          <w:sz w:val="22"/>
        </w:rPr>
        <w:t xml:space="preserve">lo recogido por el CGPJ en su Memoria anual. </w:t>
      </w:r>
    </w:p>
    <w:p w:rsidR="000C0BE8" w:rsidRPr="007A1BBA" w:rsidRDefault="000C0BE8" w:rsidP="007A1BBA">
      <w:pPr>
        <w:pStyle w:val="Prrafodelista"/>
        <w:numPr>
          <w:ilvl w:val="0"/>
          <w:numId w:val="8"/>
        </w:numPr>
        <w:jc w:val="both"/>
        <w:rPr>
          <w:rFonts w:ascii="Calibri" w:hAnsi="Calibri" w:cs="Arial"/>
          <w:sz w:val="22"/>
        </w:rPr>
      </w:pPr>
      <w:r w:rsidRPr="007A1BBA">
        <w:rPr>
          <w:rFonts w:ascii="Calibri" w:hAnsi="Calibri" w:cs="Arial"/>
          <w:sz w:val="22"/>
        </w:rPr>
        <w:t>Desde el punto de vista de los “asuntos resueltos” la heterogeneidad del término, a través del cual se da tratamiento a los datos referentes a la finalizaci</w:t>
      </w:r>
      <w:r w:rsidR="009B27A3" w:rsidRPr="007A1BBA">
        <w:rPr>
          <w:rFonts w:ascii="Calibri" w:hAnsi="Calibri" w:cs="Arial"/>
          <w:sz w:val="22"/>
        </w:rPr>
        <w:t xml:space="preserve">ón de los procedimientos, hace que no se trate de una variable aceptable pues bajo la misma se engloban actos procesales de muy diversa naturaleza. Así, en la Memoria del CGPJ  </w:t>
      </w:r>
      <w:r w:rsidR="00D14F35" w:rsidRPr="007A1BBA">
        <w:rPr>
          <w:rFonts w:ascii="Calibri" w:hAnsi="Calibri" w:cs="Arial"/>
          <w:sz w:val="22"/>
        </w:rPr>
        <w:t xml:space="preserve">se recoge como “asunto resuelto” tanto los procesos </w:t>
      </w:r>
      <w:r w:rsidR="0018189B" w:rsidRPr="007A1BBA">
        <w:rPr>
          <w:rFonts w:ascii="Calibri" w:hAnsi="Calibri" w:cs="Arial"/>
          <w:sz w:val="22"/>
        </w:rPr>
        <w:t>que culminan por sentencia sobre el fondo del asunto, como otros que culminan con otras resoluciones que implican no sólo la inexistencia de un pronunciamiento sobre el fondo del asunto – auténtica esencia del derecho a la tutela judicial efectiva – sino también la de actividad jurisdiccional. En este punto la estadística judicial debería propiciar</w:t>
      </w:r>
      <w:r w:rsidR="00A25CA3" w:rsidRPr="007A1BBA">
        <w:rPr>
          <w:rFonts w:ascii="Calibri" w:hAnsi="Calibri" w:cs="Arial"/>
          <w:sz w:val="22"/>
        </w:rPr>
        <w:t xml:space="preserve">, </w:t>
      </w:r>
      <w:r w:rsidR="0018189B" w:rsidRPr="007A1BBA">
        <w:rPr>
          <w:rFonts w:ascii="Calibri" w:hAnsi="Calibri" w:cs="Arial"/>
          <w:sz w:val="22"/>
        </w:rPr>
        <w:t>de modo más pormenorizado a como se hace actualmente</w:t>
      </w:r>
      <w:r w:rsidR="00A25CA3" w:rsidRPr="007A1BBA">
        <w:rPr>
          <w:rFonts w:ascii="Calibri" w:hAnsi="Calibri" w:cs="Arial"/>
          <w:sz w:val="22"/>
        </w:rPr>
        <w:t xml:space="preserve">, datos exactos sobre el modo de terminación de los procesos, a efectos de dar un adecuado tratamiento – el recogido en la Memoria del CGPJ no es válido – a los procedimientos concluidos mediante resoluciones de inadmisión, archivo, sobreseimiento, transformación en otras instituciones procesales, resoluciones sin carácter jurisdiccional. </w:t>
      </w:r>
    </w:p>
    <w:p w:rsidR="00A23032" w:rsidRPr="007A1BBA" w:rsidRDefault="00173EEB" w:rsidP="007A1BBA">
      <w:pPr>
        <w:pStyle w:val="Prrafodelista"/>
        <w:numPr>
          <w:ilvl w:val="0"/>
          <w:numId w:val="8"/>
        </w:numPr>
        <w:jc w:val="both"/>
        <w:rPr>
          <w:rFonts w:ascii="Calibri" w:hAnsi="Calibri" w:cs="Arial"/>
          <w:sz w:val="22"/>
        </w:rPr>
      </w:pPr>
      <w:r w:rsidRPr="007A1BBA">
        <w:rPr>
          <w:rFonts w:ascii="Calibri" w:hAnsi="Calibri" w:cs="Arial"/>
          <w:sz w:val="22"/>
        </w:rPr>
        <w:t xml:space="preserve">Analizada la estadística judicial </w:t>
      </w:r>
      <w:r w:rsidR="00A23032" w:rsidRPr="007A1BBA">
        <w:rPr>
          <w:rFonts w:ascii="Calibri" w:hAnsi="Calibri" w:cs="Arial"/>
          <w:sz w:val="22"/>
        </w:rPr>
        <w:t xml:space="preserve">a la luz de unos criterios procesales más ortodoxos que los utilizados por el CGPJ puede llegarse a la conclusión de que el número real de procesos tramitados ante los órganos jurisdiccionales son de 700.171 en el Orden Civil, 717.559 en el Orden Penal, 182.676 en el Orden Contencioso-administrativo y 233.202 </w:t>
      </w:r>
      <w:r w:rsidR="00A23032" w:rsidRPr="007A1BBA">
        <w:rPr>
          <w:rFonts w:ascii="Calibri" w:hAnsi="Calibri" w:cs="Arial"/>
          <w:sz w:val="22"/>
        </w:rPr>
        <w:lastRenderedPageBreak/>
        <w:t>en el Orden Social. Esto haría un total de 1.833.608 de procesos tramitados en la Jurisdicci</w:t>
      </w:r>
      <w:r w:rsidR="00881275" w:rsidRPr="007A1BBA">
        <w:rPr>
          <w:rFonts w:ascii="Calibri" w:hAnsi="Calibri" w:cs="Arial"/>
          <w:sz w:val="22"/>
        </w:rPr>
        <w:t xml:space="preserve">ón, </w:t>
      </w:r>
      <w:r w:rsidR="005029AC" w:rsidRPr="007A1BBA">
        <w:rPr>
          <w:rFonts w:ascii="Calibri" w:hAnsi="Calibri" w:cs="Arial"/>
          <w:sz w:val="22"/>
        </w:rPr>
        <w:t>lo que supone el 20% de las cifras ofre</w:t>
      </w:r>
      <w:r w:rsidR="00881275" w:rsidRPr="007A1BBA">
        <w:rPr>
          <w:rFonts w:ascii="Calibri" w:hAnsi="Calibri" w:cs="Arial"/>
          <w:sz w:val="22"/>
        </w:rPr>
        <w:t xml:space="preserve">cidas por la Memoria del CGPJ. </w:t>
      </w:r>
    </w:p>
    <w:p w:rsidR="00A25CA3" w:rsidRPr="007A1BBA" w:rsidRDefault="00A25CA3" w:rsidP="007A1BBA">
      <w:pPr>
        <w:pStyle w:val="Prrafodelista"/>
        <w:numPr>
          <w:ilvl w:val="0"/>
          <w:numId w:val="8"/>
        </w:numPr>
        <w:jc w:val="both"/>
        <w:rPr>
          <w:rFonts w:ascii="Calibri" w:hAnsi="Calibri" w:cs="Arial"/>
          <w:sz w:val="22"/>
        </w:rPr>
      </w:pPr>
      <w:r w:rsidRPr="007A1BBA">
        <w:rPr>
          <w:rFonts w:ascii="Calibri" w:hAnsi="Calibri" w:cs="Arial"/>
          <w:sz w:val="22"/>
        </w:rPr>
        <w:t xml:space="preserve">La conclusión general que se puede extraer </w:t>
      </w:r>
      <w:r w:rsidR="00980FA0" w:rsidRPr="007A1BBA">
        <w:rPr>
          <w:rFonts w:ascii="Calibri" w:hAnsi="Calibri" w:cs="Arial"/>
          <w:sz w:val="22"/>
        </w:rPr>
        <w:t>sobre el tratamiento que de la estadística judicial realiza la Memoria del CGPJ</w:t>
      </w:r>
      <w:r w:rsidRPr="007A1BBA">
        <w:rPr>
          <w:rFonts w:ascii="Calibri" w:hAnsi="Calibri" w:cs="Arial"/>
          <w:sz w:val="22"/>
        </w:rPr>
        <w:t xml:space="preserve">, </w:t>
      </w:r>
      <w:r w:rsidR="00980FA0" w:rsidRPr="007A1BBA">
        <w:rPr>
          <w:rFonts w:ascii="Calibri" w:hAnsi="Calibri" w:cs="Arial"/>
          <w:sz w:val="22"/>
        </w:rPr>
        <w:t xml:space="preserve">es que </w:t>
      </w:r>
      <w:r w:rsidR="00077BC3" w:rsidRPr="007A1BBA">
        <w:rPr>
          <w:rFonts w:ascii="Calibri" w:hAnsi="Calibri" w:cs="Arial"/>
          <w:sz w:val="22"/>
        </w:rPr>
        <w:t xml:space="preserve">se produce una exposición muy sesgada de los datos, ofreciéndolos bajo categorías no apropiadas desde el punto de vista de las instituciones procesales. Se trata de un instrumento inválido a los efectos de realizar una valoración sobre la situación de la Administración de Justicia y no puede servir de base para realizar cualquier reforma </w:t>
      </w:r>
      <w:r w:rsidR="001C7118" w:rsidRPr="007A1BBA">
        <w:rPr>
          <w:rFonts w:ascii="Calibri" w:hAnsi="Calibri" w:cs="Arial"/>
          <w:sz w:val="22"/>
        </w:rPr>
        <w:t>normativa que tenga como finalidad un funcionamiento más eficiente o agilización de la Jurisdicción.</w:t>
      </w:r>
      <w:r w:rsidR="007A1127" w:rsidRPr="007A1BBA">
        <w:rPr>
          <w:rFonts w:ascii="Calibri" w:hAnsi="Calibri" w:cs="Arial"/>
          <w:sz w:val="22"/>
        </w:rPr>
        <w:t xml:space="preserve"> </w:t>
      </w:r>
      <w:r w:rsidR="00332D63" w:rsidRPr="007A1BBA">
        <w:rPr>
          <w:rFonts w:ascii="Calibri" w:hAnsi="Calibri" w:cs="Arial"/>
          <w:sz w:val="22"/>
        </w:rPr>
        <w:t>Antes de acometer cualquier reforma que afecte a la organización judicial y al desarrollo de los procesos en los distintos órdenes jurisdiccionales sería imprescindible someter a una profunda revisión la estadística judicial, desde la propia toma de datos</w:t>
      </w:r>
      <w:r w:rsidR="009E0BC1" w:rsidRPr="007A1BBA">
        <w:rPr>
          <w:rFonts w:ascii="Calibri" w:hAnsi="Calibri" w:cs="Arial"/>
          <w:sz w:val="22"/>
        </w:rPr>
        <w:t xml:space="preserve"> hasta el análisis que los órganos </w:t>
      </w:r>
      <w:r w:rsidR="00391EBD" w:rsidRPr="007A1BBA">
        <w:rPr>
          <w:rFonts w:ascii="Calibri" w:hAnsi="Calibri" w:cs="Arial"/>
          <w:sz w:val="22"/>
        </w:rPr>
        <w:t xml:space="preserve">del CGPJ realizan de los mismos, todo ello con la finalidad de tener un conocimiento real de la situación de la Administración de Justicia que posibilite la adopción de decisiones y normas ajustadas a la realidad procesal. </w:t>
      </w:r>
      <w:r w:rsidR="001C7118" w:rsidRPr="007A1BBA">
        <w:rPr>
          <w:rFonts w:ascii="Calibri" w:hAnsi="Calibri" w:cs="Arial"/>
          <w:sz w:val="22"/>
        </w:rPr>
        <w:t xml:space="preserve"> </w:t>
      </w:r>
    </w:p>
    <w:bookmarkEnd w:id="9"/>
    <w:p w:rsidR="000C0BE8" w:rsidRPr="007A1BBA" w:rsidRDefault="000C0BE8" w:rsidP="00B17CB7">
      <w:pPr>
        <w:jc w:val="both"/>
        <w:rPr>
          <w:rFonts w:ascii="Calibri" w:hAnsi="Calibri"/>
          <w:sz w:val="22"/>
        </w:rPr>
      </w:pPr>
    </w:p>
    <w:sectPr w:rsidR="000C0BE8" w:rsidRPr="007A1BBA" w:rsidSect="005423AC">
      <w:headerReference w:type="default" r:id="rId9"/>
      <w:footerReference w:type="default" r:id="rId10"/>
      <w:headerReference w:type="firs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C33" w:rsidRDefault="00AA2C33" w:rsidP="00D0217B">
      <w:pPr>
        <w:spacing w:after="0" w:line="240" w:lineRule="auto"/>
      </w:pPr>
      <w:r>
        <w:separator/>
      </w:r>
    </w:p>
  </w:endnote>
  <w:endnote w:type="continuationSeparator" w:id="0">
    <w:p w:rsidR="00AA2C33" w:rsidRDefault="00AA2C33" w:rsidP="00D0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64821"/>
      <w:docPartObj>
        <w:docPartGallery w:val="Page Numbers (Bottom of Page)"/>
        <w:docPartUnique/>
      </w:docPartObj>
    </w:sdtPr>
    <w:sdtEndPr>
      <w:rPr>
        <w:szCs w:val="24"/>
      </w:rPr>
    </w:sdtEndPr>
    <w:sdtContent>
      <w:p w:rsidR="005B2BD0" w:rsidRPr="002A3E77" w:rsidRDefault="005B2BD0">
        <w:pPr>
          <w:pStyle w:val="Piedepgina"/>
          <w:jc w:val="right"/>
          <w:rPr>
            <w:szCs w:val="24"/>
          </w:rPr>
        </w:pPr>
        <w:r w:rsidRPr="002A3E77">
          <w:rPr>
            <w:szCs w:val="24"/>
          </w:rPr>
          <w:fldChar w:fldCharType="begin"/>
        </w:r>
        <w:r w:rsidRPr="002A3E77">
          <w:rPr>
            <w:szCs w:val="24"/>
          </w:rPr>
          <w:instrText>PAGE   \* MERGEFORMAT</w:instrText>
        </w:r>
        <w:r w:rsidRPr="002A3E77">
          <w:rPr>
            <w:szCs w:val="24"/>
          </w:rPr>
          <w:fldChar w:fldCharType="separate"/>
        </w:r>
        <w:r w:rsidR="00D64DBF">
          <w:rPr>
            <w:noProof/>
            <w:szCs w:val="24"/>
          </w:rPr>
          <w:t>11</w:t>
        </w:r>
        <w:r w:rsidRPr="002A3E77">
          <w:rPr>
            <w:szCs w:val="24"/>
          </w:rPr>
          <w:fldChar w:fldCharType="end"/>
        </w:r>
      </w:p>
    </w:sdtContent>
  </w:sdt>
  <w:p w:rsidR="005B2BD0" w:rsidRDefault="005B2B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C33" w:rsidRDefault="00AA2C33" w:rsidP="00D0217B">
      <w:pPr>
        <w:spacing w:after="0" w:line="240" w:lineRule="auto"/>
      </w:pPr>
      <w:r>
        <w:separator/>
      </w:r>
    </w:p>
  </w:footnote>
  <w:footnote w:type="continuationSeparator" w:id="0">
    <w:p w:rsidR="00AA2C33" w:rsidRDefault="00AA2C33" w:rsidP="00D02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AC" w:rsidRDefault="005423AC" w:rsidP="005423AC">
    <w:pPr>
      <w:pStyle w:val="Encabezado"/>
      <w:tabs>
        <w:tab w:val="clear" w:pos="4252"/>
        <w:tab w:val="clear" w:pos="8504"/>
        <w:tab w:val="left" w:pos="3420"/>
      </w:tabs>
    </w:pPr>
    <w:r>
      <w:rPr>
        <w:noProof/>
        <w:lang w:eastAsia="es-ES"/>
      </w:rPr>
      <w:drawing>
        <wp:inline distT="0" distB="0" distL="0" distR="0" wp14:anchorId="3CB4738C" wp14:editId="71C1A0CA">
          <wp:extent cx="1656812" cy="515471"/>
          <wp:effectExtent l="0" t="0" r="0" b="0"/>
          <wp:docPr id="7" name="Imagen 7" descr="C:\Users\Berto\AppData\Local\Microsoft\Windows\Temporary Internet Files\Content.Outlook\4QKNOT9V\Logo-U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o\AppData\Local\Microsoft\Windows\Temporary Internet Files\Content.Outlook\4QKNOT9V\Logo-UA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969" cy="515520"/>
                  </a:xfrm>
                  <a:prstGeom prst="rect">
                    <a:avLst/>
                  </a:prstGeom>
                  <a:noFill/>
                  <a:ln>
                    <a:noFill/>
                  </a:ln>
                </pic:spPr>
              </pic:pic>
            </a:graphicData>
          </a:graphic>
        </wp:inline>
      </w:drawing>
    </w:r>
    <w:r>
      <w:tab/>
    </w:r>
    <w:r>
      <w:rPr>
        <w:noProof/>
        <w:lang w:eastAsia="es-ES"/>
      </w:rPr>
      <w:drawing>
        <wp:inline distT="0" distB="0" distL="0" distR="0" wp14:anchorId="2C47E14C" wp14:editId="5C9ADA27">
          <wp:extent cx="1591235" cy="537287"/>
          <wp:effectExtent l="0" t="0" r="0" b="0"/>
          <wp:docPr id="8" name="Imagen 8" descr="Facultad de Der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ultad de Derech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6509" cy="53906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D0" w:rsidRDefault="005B2BD0" w:rsidP="00FC3672">
    <w:pPr>
      <w:pStyle w:val="Encabezado"/>
      <w:jc w:val="center"/>
    </w:pPr>
    <w:r>
      <w:rPr>
        <w:noProof/>
        <w:lang w:eastAsia="es-ES"/>
      </w:rPr>
      <w:drawing>
        <wp:inline distT="0" distB="0" distL="0" distR="0" wp14:anchorId="1E5E9410" wp14:editId="2D62EAC7">
          <wp:extent cx="1656812" cy="515471"/>
          <wp:effectExtent l="0" t="0" r="0" b="0"/>
          <wp:docPr id="5" name="Imagen 5" descr="C:\Users\Berto\AppData\Local\Microsoft\Windows\Temporary Internet Files\Content.Outlook\4QKNOT9V\Logo-U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o\AppData\Local\Microsoft\Windows\Temporary Internet Files\Content.Outlook\4QKNOT9V\Logo-UA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969" cy="515520"/>
                  </a:xfrm>
                  <a:prstGeom prst="rect">
                    <a:avLst/>
                  </a:prstGeom>
                  <a:noFill/>
                  <a:ln>
                    <a:noFill/>
                  </a:ln>
                </pic:spPr>
              </pic:pic>
            </a:graphicData>
          </a:graphic>
        </wp:inline>
      </w:drawing>
    </w:r>
    <w:r>
      <w:rPr>
        <w:noProof/>
        <w:lang w:eastAsia="es-ES"/>
      </w:rPr>
      <w:drawing>
        <wp:inline distT="0" distB="0" distL="0" distR="0" wp14:anchorId="46D59A47" wp14:editId="0B8C624C">
          <wp:extent cx="1591235" cy="537287"/>
          <wp:effectExtent l="0" t="0" r="0" b="0"/>
          <wp:docPr id="6" name="Imagen 6" descr="Facultad de Der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ultad de Derech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6509" cy="5390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ACF"/>
    <w:multiLevelType w:val="hybridMultilevel"/>
    <w:tmpl w:val="364694C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A2328B"/>
    <w:multiLevelType w:val="hybridMultilevel"/>
    <w:tmpl w:val="5D4A672A"/>
    <w:lvl w:ilvl="0" w:tplc="E67E062E">
      <w:start w:val="1"/>
      <w:numFmt w:val="bullet"/>
      <w:lvlText w:val="-"/>
      <w:lvlJc w:val="left"/>
      <w:pPr>
        <w:ind w:left="720" w:hanging="360"/>
      </w:pPr>
      <w:rPr>
        <w:rFonts w:ascii="Palatino Linotype" w:eastAsia="Times New Roman" w:hAnsi="Palatino Linotype"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A825B3"/>
    <w:multiLevelType w:val="hybridMultilevel"/>
    <w:tmpl w:val="F7F06D7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CA74F4"/>
    <w:multiLevelType w:val="hybridMultilevel"/>
    <w:tmpl w:val="2044477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424257"/>
    <w:multiLevelType w:val="hybridMultilevel"/>
    <w:tmpl w:val="99F83F96"/>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F72F3E"/>
    <w:multiLevelType w:val="hybridMultilevel"/>
    <w:tmpl w:val="9E9654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2CD72AA"/>
    <w:multiLevelType w:val="hybridMultilevel"/>
    <w:tmpl w:val="60C0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344CA2"/>
    <w:multiLevelType w:val="hybridMultilevel"/>
    <w:tmpl w:val="7F1CC842"/>
    <w:lvl w:ilvl="0" w:tplc="1BA0384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E7"/>
    <w:rsid w:val="00000DFB"/>
    <w:rsid w:val="00005219"/>
    <w:rsid w:val="00015F83"/>
    <w:rsid w:val="00017F88"/>
    <w:rsid w:val="00021429"/>
    <w:rsid w:val="00021BF4"/>
    <w:rsid w:val="00022FAB"/>
    <w:rsid w:val="000238D2"/>
    <w:rsid w:val="000262C1"/>
    <w:rsid w:val="000339C0"/>
    <w:rsid w:val="00034375"/>
    <w:rsid w:val="00040A59"/>
    <w:rsid w:val="00042AD3"/>
    <w:rsid w:val="00043ACD"/>
    <w:rsid w:val="000476CF"/>
    <w:rsid w:val="00052127"/>
    <w:rsid w:val="00056754"/>
    <w:rsid w:val="00057568"/>
    <w:rsid w:val="0007127E"/>
    <w:rsid w:val="00073FA5"/>
    <w:rsid w:val="00076EAE"/>
    <w:rsid w:val="00077BC3"/>
    <w:rsid w:val="00084835"/>
    <w:rsid w:val="00084BF5"/>
    <w:rsid w:val="00085225"/>
    <w:rsid w:val="00087210"/>
    <w:rsid w:val="000A2E5B"/>
    <w:rsid w:val="000A3E3D"/>
    <w:rsid w:val="000A5274"/>
    <w:rsid w:val="000A6614"/>
    <w:rsid w:val="000B33CA"/>
    <w:rsid w:val="000C0BE8"/>
    <w:rsid w:val="000C0FE7"/>
    <w:rsid w:val="000C1B24"/>
    <w:rsid w:val="000C3015"/>
    <w:rsid w:val="000D4BA1"/>
    <w:rsid w:val="000D6865"/>
    <w:rsid w:val="000E1FA4"/>
    <w:rsid w:val="000E2827"/>
    <w:rsid w:val="000E469A"/>
    <w:rsid w:val="000E6FF0"/>
    <w:rsid w:val="000F29FE"/>
    <w:rsid w:val="000F5DFE"/>
    <w:rsid w:val="000F69EC"/>
    <w:rsid w:val="000F6AE8"/>
    <w:rsid w:val="000F6B6B"/>
    <w:rsid w:val="000F6B81"/>
    <w:rsid w:val="00100865"/>
    <w:rsid w:val="00104B3E"/>
    <w:rsid w:val="001068E6"/>
    <w:rsid w:val="00107886"/>
    <w:rsid w:val="001113AB"/>
    <w:rsid w:val="001142DE"/>
    <w:rsid w:val="0011450C"/>
    <w:rsid w:val="001155A2"/>
    <w:rsid w:val="00116823"/>
    <w:rsid w:val="001221D3"/>
    <w:rsid w:val="00125407"/>
    <w:rsid w:val="00133DA2"/>
    <w:rsid w:val="00135A3B"/>
    <w:rsid w:val="00140E16"/>
    <w:rsid w:val="00140F66"/>
    <w:rsid w:val="001439D0"/>
    <w:rsid w:val="00143D05"/>
    <w:rsid w:val="00146DE8"/>
    <w:rsid w:val="00150179"/>
    <w:rsid w:val="001517D8"/>
    <w:rsid w:val="00153BB8"/>
    <w:rsid w:val="00157CA9"/>
    <w:rsid w:val="0016028F"/>
    <w:rsid w:val="00161C91"/>
    <w:rsid w:val="0016267E"/>
    <w:rsid w:val="00162FC1"/>
    <w:rsid w:val="0016390E"/>
    <w:rsid w:val="001663B6"/>
    <w:rsid w:val="00167845"/>
    <w:rsid w:val="001705E3"/>
    <w:rsid w:val="00170A65"/>
    <w:rsid w:val="00173EEB"/>
    <w:rsid w:val="00180FDD"/>
    <w:rsid w:val="0018189B"/>
    <w:rsid w:val="00196B82"/>
    <w:rsid w:val="00197218"/>
    <w:rsid w:val="001A27B0"/>
    <w:rsid w:val="001A4ABA"/>
    <w:rsid w:val="001B0E70"/>
    <w:rsid w:val="001C36DD"/>
    <w:rsid w:val="001C4702"/>
    <w:rsid w:val="001C65FC"/>
    <w:rsid w:val="001C7118"/>
    <w:rsid w:val="001D07F1"/>
    <w:rsid w:val="001D1961"/>
    <w:rsid w:val="001D2E81"/>
    <w:rsid w:val="001D614A"/>
    <w:rsid w:val="001D687C"/>
    <w:rsid w:val="001E5E17"/>
    <w:rsid w:val="001F0409"/>
    <w:rsid w:val="001F07F1"/>
    <w:rsid w:val="001F3FF8"/>
    <w:rsid w:val="00210D0D"/>
    <w:rsid w:val="00215739"/>
    <w:rsid w:val="00217BBB"/>
    <w:rsid w:val="0022072B"/>
    <w:rsid w:val="00231538"/>
    <w:rsid w:val="00232F65"/>
    <w:rsid w:val="00237366"/>
    <w:rsid w:val="0024249E"/>
    <w:rsid w:val="00242718"/>
    <w:rsid w:val="00243403"/>
    <w:rsid w:val="00250A23"/>
    <w:rsid w:val="002511E5"/>
    <w:rsid w:val="002514A8"/>
    <w:rsid w:val="00251905"/>
    <w:rsid w:val="002527B8"/>
    <w:rsid w:val="0025341A"/>
    <w:rsid w:val="00256B5C"/>
    <w:rsid w:val="00261D8B"/>
    <w:rsid w:val="00263DE9"/>
    <w:rsid w:val="00272DE3"/>
    <w:rsid w:val="002735CB"/>
    <w:rsid w:val="002768EE"/>
    <w:rsid w:val="00282A17"/>
    <w:rsid w:val="00284211"/>
    <w:rsid w:val="00286DDC"/>
    <w:rsid w:val="002871E7"/>
    <w:rsid w:val="00292F88"/>
    <w:rsid w:val="002A1942"/>
    <w:rsid w:val="002A3E77"/>
    <w:rsid w:val="002A6953"/>
    <w:rsid w:val="002C1CAA"/>
    <w:rsid w:val="002C4F27"/>
    <w:rsid w:val="002D146E"/>
    <w:rsid w:val="002D2C73"/>
    <w:rsid w:val="002D4A1A"/>
    <w:rsid w:val="002D5355"/>
    <w:rsid w:val="002D72A1"/>
    <w:rsid w:val="002E4CC2"/>
    <w:rsid w:val="002E5A2F"/>
    <w:rsid w:val="002E679D"/>
    <w:rsid w:val="002F0423"/>
    <w:rsid w:val="002F60EA"/>
    <w:rsid w:val="0030523C"/>
    <w:rsid w:val="00311742"/>
    <w:rsid w:val="0031747D"/>
    <w:rsid w:val="00322335"/>
    <w:rsid w:val="00322D34"/>
    <w:rsid w:val="00325D9D"/>
    <w:rsid w:val="0032653A"/>
    <w:rsid w:val="00332D63"/>
    <w:rsid w:val="00335933"/>
    <w:rsid w:val="0034276B"/>
    <w:rsid w:val="00344AB5"/>
    <w:rsid w:val="003453C9"/>
    <w:rsid w:val="00345805"/>
    <w:rsid w:val="00346405"/>
    <w:rsid w:val="00346DAE"/>
    <w:rsid w:val="0035165D"/>
    <w:rsid w:val="00353050"/>
    <w:rsid w:val="00353341"/>
    <w:rsid w:val="0036256C"/>
    <w:rsid w:val="003655D6"/>
    <w:rsid w:val="003777B4"/>
    <w:rsid w:val="00377E8C"/>
    <w:rsid w:val="00381799"/>
    <w:rsid w:val="003819A2"/>
    <w:rsid w:val="00382251"/>
    <w:rsid w:val="00384EED"/>
    <w:rsid w:val="00385E52"/>
    <w:rsid w:val="00386680"/>
    <w:rsid w:val="00390D2C"/>
    <w:rsid w:val="003914D4"/>
    <w:rsid w:val="00391EBD"/>
    <w:rsid w:val="00392B3D"/>
    <w:rsid w:val="003934E4"/>
    <w:rsid w:val="00394E40"/>
    <w:rsid w:val="00395075"/>
    <w:rsid w:val="00396E08"/>
    <w:rsid w:val="0039759B"/>
    <w:rsid w:val="003A61A8"/>
    <w:rsid w:val="003B19C7"/>
    <w:rsid w:val="003B4767"/>
    <w:rsid w:val="003B4813"/>
    <w:rsid w:val="003C07B4"/>
    <w:rsid w:val="003C140C"/>
    <w:rsid w:val="003C58DB"/>
    <w:rsid w:val="003E5829"/>
    <w:rsid w:val="003E5F0B"/>
    <w:rsid w:val="003E742A"/>
    <w:rsid w:val="003F35DB"/>
    <w:rsid w:val="003F5605"/>
    <w:rsid w:val="0040624A"/>
    <w:rsid w:val="004127FB"/>
    <w:rsid w:val="00415A17"/>
    <w:rsid w:val="00417D99"/>
    <w:rsid w:val="00417E95"/>
    <w:rsid w:val="00420DEF"/>
    <w:rsid w:val="00421DFC"/>
    <w:rsid w:val="00424BBF"/>
    <w:rsid w:val="00424F04"/>
    <w:rsid w:val="0042786A"/>
    <w:rsid w:val="004302FC"/>
    <w:rsid w:val="004347FC"/>
    <w:rsid w:val="00435759"/>
    <w:rsid w:val="00440851"/>
    <w:rsid w:val="00440EF8"/>
    <w:rsid w:val="004432F1"/>
    <w:rsid w:val="004438A1"/>
    <w:rsid w:val="0044438F"/>
    <w:rsid w:val="0046143C"/>
    <w:rsid w:val="00462237"/>
    <w:rsid w:val="00462763"/>
    <w:rsid w:val="00464CCA"/>
    <w:rsid w:val="00464EE1"/>
    <w:rsid w:val="0046571E"/>
    <w:rsid w:val="0047084C"/>
    <w:rsid w:val="00474604"/>
    <w:rsid w:val="00490407"/>
    <w:rsid w:val="00490743"/>
    <w:rsid w:val="00492DF2"/>
    <w:rsid w:val="00495592"/>
    <w:rsid w:val="004A1D53"/>
    <w:rsid w:val="004A1EDF"/>
    <w:rsid w:val="004A2B5E"/>
    <w:rsid w:val="004A3D0E"/>
    <w:rsid w:val="004A5025"/>
    <w:rsid w:val="004A5EA7"/>
    <w:rsid w:val="004A7609"/>
    <w:rsid w:val="004B638A"/>
    <w:rsid w:val="004B748A"/>
    <w:rsid w:val="004B79A6"/>
    <w:rsid w:val="004C0637"/>
    <w:rsid w:val="004C1D8F"/>
    <w:rsid w:val="004C2B15"/>
    <w:rsid w:val="004C3B16"/>
    <w:rsid w:val="004C7881"/>
    <w:rsid w:val="004D0173"/>
    <w:rsid w:val="004D281A"/>
    <w:rsid w:val="004D4AB6"/>
    <w:rsid w:val="004D5F7A"/>
    <w:rsid w:val="004D7CB6"/>
    <w:rsid w:val="004E0C48"/>
    <w:rsid w:val="004E2EB0"/>
    <w:rsid w:val="004E3158"/>
    <w:rsid w:val="004E3534"/>
    <w:rsid w:val="004E4CAE"/>
    <w:rsid w:val="004E58B5"/>
    <w:rsid w:val="004F3CA7"/>
    <w:rsid w:val="004F5388"/>
    <w:rsid w:val="004F6DD1"/>
    <w:rsid w:val="00500A2B"/>
    <w:rsid w:val="00500F2A"/>
    <w:rsid w:val="005029AC"/>
    <w:rsid w:val="00504B1D"/>
    <w:rsid w:val="005076DB"/>
    <w:rsid w:val="005144C7"/>
    <w:rsid w:val="00514C9C"/>
    <w:rsid w:val="0051773B"/>
    <w:rsid w:val="005203C7"/>
    <w:rsid w:val="00523B83"/>
    <w:rsid w:val="005248C6"/>
    <w:rsid w:val="00526A81"/>
    <w:rsid w:val="005423AC"/>
    <w:rsid w:val="00546403"/>
    <w:rsid w:val="00556288"/>
    <w:rsid w:val="005575EE"/>
    <w:rsid w:val="00560260"/>
    <w:rsid w:val="00561080"/>
    <w:rsid w:val="00564B89"/>
    <w:rsid w:val="00572232"/>
    <w:rsid w:val="00573895"/>
    <w:rsid w:val="00574CA8"/>
    <w:rsid w:val="00587347"/>
    <w:rsid w:val="005908A6"/>
    <w:rsid w:val="00593B5A"/>
    <w:rsid w:val="00595078"/>
    <w:rsid w:val="005A08F3"/>
    <w:rsid w:val="005A2414"/>
    <w:rsid w:val="005A48F7"/>
    <w:rsid w:val="005A6776"/>
    <w:rsid w:val="005B2BD0"/>
    <w:rsid w:val="005B5AE6"/>
    <w:rsid w:val="005B5EBB"/>
    <w:rsid w:val="005B628F"/>
    <w:rsid w:val="005C3FA2"/>
    <w:rsid w:val="005C4714"/>
    <w:rsid w:val="005C594E"/>
    <w:rsid w:val="005C6622"/>
    <w:rsid w:val="005D028C"/>
    <w:rsid w:val="005D1497"/>
    <w:rsid w:val="005D5409"/>
    <w:rsid w:val="005D7924"/>
    <w:rsid w:val="005E4294"/>
    <w:rsid w:val="005F0C39"/>
    <w:rsid w:val="005F376D"/>
    <w:rsid w:val="00600957"/>
    <w:rsid w:val="00601235"/>
    <w:rsid w:val="006035E7"/>
    <w:rsid w:val="00604285"/>
    <w:rsid w:val="00614CE0"/>
    <w:rsid w:val="00616131"/>
    <w:rsid w:val="00616357"/>
    <w:rsid w:val="006175D0"/>
    <w:rsid w:val="0061798B"/>
    <w:rsid w:val="00630205"/>
    <w:rsid w:val="006308A2"/>
    <w:rsid w:val="006315F0"/>
    <w:rsid w:val="00631957"/>
    <w:rsid w:val="00633BFE"/>
    <w:rsid w:val="006350ED"/>
    <w:rsid w:val="0063763E"/>
    <w:rsid w:val="00644A64"/>
    <w:rsid w:val="0064793E"/>
    <w:rsid w:val="00650770"/>
    <w:rsid w:val="00653160"/>
    <w:rsid w:val="006543F2"/>
    <w:rsid w:val="0065590A"/>
    <w:rsid w:val="0065594E"/>
    <w:rsid w:val="0066043D"/>
    <w:rsid w:val="00664320"/>
    <w:rsid w:val="00667402"/>
    <w:rsid w:val="006677A6"/>
    <w:rsid w:val="00667934"/>
    <w:rsid w:val="00675EB7"/>
    <w:rsid w:val="00687583"/>
    <w:rsid w:val="00690F7A"/>
    <w:rsid w:val="00691B1D"/>
    <w:rsid w:val="006926C0"/>
    <w:rsid w:val="00693A3B"/>
    <w:rsid w:val="00693F27"/>
    <w:rsid w:val="006A1A8E"/>
    <w:rsid w:val="006A2D87"/>
    <w:rsid w:val="006A55EB"/>
    <w:rsid w:val="006B062A"/>
    <w:rsid w:val="006B1125"/>
    <w:rsid w:val="006B4807"/>
    <w:rsid w:val="006B55A0"/>
    <w:rsid w:val="006B562C"/>
    <w:rsid w:val="006C1392"/>
    <w:rsid w:val="006C1BE6"/>
    <w:rsid w:val="006C2C16"/>
    <w:rsid w:val="006C3B33"/>
    <w:rsid w:val="006C4C06"/>
    <w:rsid w:val="006C698D"/>
    <w:rsid w:val="006D0E08"/>
    <w:rsid w:val="006D2291"/>
    <w:rsid w:val="006D4C58"/>
    <w:rsid w:val="006D6DA2"/>
    <w:rsid w:val="006E1588"/>
    <w:rsid w:val="006E1B6D"/>
    <w:rsid w:val="006E79E0"/>
    <w:rsid w:val="006F112C"/>
    <w:rsid w:val="006F5828"/>
    <w:rsid w:val="006F6055"/>
    <w:rsid w:val="006F7654"/>
    <w:rsid w:val="0070327B"/>
    <w:rsid w:val="00703EBC"/>
    <w:rsid w:val="007042BE"/>
    <w:rsid w:val="00707685"/>
    <w:rsid w:val="0072047C"/>
    <w:rsid w:val="00721AFD"/>
    <w:rsid w:val="007279D1"/>
    <w:rsid w:val="007353C9"/>
    <w:rsid w:val="007427BE"/>
    <w:rsid w:val="00742B89"/>
    <w:rsid w:val="007433AD"/>
    <w:rsid w:val="00744FDF"/>
    <w:rsid w:val="0074680F"/>
    <w:rsid w:val="00746D50"/>
    <w:rsid w:val="00752439"/>
    <w:rsid w:val="00753567"/>
    <w:rsid w:val="00760ECD"/>
    <w:rsid w:val="00770AAE"/>
    <w:rsid w:val="00773C6D"/>
    <w:rsid w:val="00773CB2"/>
    <w:rsid w:val="0077417B"/>
    <w:rsid w:val="00776545"/>
    <w:rsid w:val="00782B20"/>
    <w:rsid w:val="00784D40"/>
    <w:rsid w:val="007859B2"/>
    <w:rsid w:val="00792E44"/>
    <w:rsid w:val="00794578"/>
    <w:rsid w:val="00796228"/>
    <w:rsid w:val="00797026"/>
    <w:rsid w:val="00797FA5"/>
    <w:rsid w:val="007A1127"/>
    <w:rsid w:val="007A1BBA"/>
    <w:rsid w:val="007A40FE"/>
    <w:rsid w:val="007A4CE2"/>
    <w:rsid w:val="007B3278"/>
    <w:rsid w:val="007B4602"/>
    <w:rsid w:val="007B56A8"/>
    <w:rsid w:val="007B573A"/>
    <w:rsid w:val="007B664A"/>
    <w:rsid w:val="007B78F7"/>
    <w:rsid w:val="007D5758"/>
    <w:rsid w:val="007D6D4F"/>
    <w:rsid w:val="007E1185"/>
    <w:rsid w:val="007F36A0"/>
    <w:rsid w:val="007F58FC"/>
    <w:rsid w:val="007F61E0"/>
    <w:rsid w:val="008060C6"/>
    <w:rsid w:val="00806710"/>
    <w:rsid w:val="00807214"/>
    <w:rsid w:val="00813E43"/>
    <w:rsid w:val="00814737"/>
    <w:rsid w:val="008169F5"/>
    <w:rsid w:val="00827178"/>
    <w:rsid w:val="00841686"/>
    <w:rsid w:val="00843A53"/>
    <w:rsid w:val="00845233"/>
    <w:rsid w:val="0085255C"/>
    <w:rsid w:val="00854DA0"/>
    <w:rsid w:val="008569C3"/>
    <w:rsid w:val="00861448"/>
    <w:rsid w:val="00866357"/>
    <w:rsid w:val="00870356"/>
    <w:rsid w:val="00871C5F"/>
    <w:rsid w:val="008741D9"/>
    <w:rsid w:val="00877896"/>
    <w:rsid w:val="00880677"/>
    <w:rsid w:val="0088108C"/>
    <w:rsid w:val="00881275"/>
    <w:rsid w:val="00882385"/>
    <w:rsid w:val="00886A70"/>
    <w:rsid w:val="00890AF7"/>
    <w:rsid w:val="008912CE"/>
    <w:rsid w:val="00892700"/>
    <w:rsid w:val="0089672A"/>
    <w:rsid w:val="008A3B4B"/>
    <w:rsid w:val="008A66C7"/>
    <w:rsid w:val="008B0284"/>
    <w:rsid w:val="008B37FF"/>
    <w:rsid w:val="008B3B07"/>
    <w:rsid w:val="008B73AF"/>
    <w:rsid w:val="008B7E3B"/>
    <w:rsid w:val="008C39AB"/>
    <w:rsid w:val="008C64D2"/>
    <w:rsid w:val="008C7D85"/>
    <w:rsid w:val="008D1E77"/>
    <w:rsid w:val="008D2CDF"/>
    <w:rsid w:val="008D45CE"/>
    <w:rsid w:val="008D4FA0"/>
    <w:rsid w:val="008D5632"/>
    <w:rsid w:val="008E20CB"/>
    <w:rsid w:val="008E361C"/>
    <w:rsid w:val="008E660D"/>
    <w:rsid w:val="008F19AD"/>
    <w:rsid w:val="008F3118"/>
    <w:rsid w:val="008F3E08"/>
    <w:rsid w:val="008F6894"/>
    <w:rsid w:val="008F7167"/>
    <w:rsid w:val="00900C05"/>
    <w:rsid w:val="00903997"/>
    <w:rsid w:val="00905EBB"/>
    <w:rsid w:val="00915846"/>
    <w:rsid w:val="009166FD"/>
    <w:rsid w:val="00921968"/>
    <w:rsid w:val="00923B3D"/>
    <w:rsid w:val="00924A8D"/>
    <w:rsid w:val="00931181"/>
    <w:rsid w:val="0093526E"/>
    <w:rsid w:val="00936B1F"/>
    <w:rsid w:val="00936FC0"/>
    <w:rsid w:val="00937CA4"/>
    <w:rsid w:val="00943224"/>
    <w:rsid w:val="0094334F"/>
    <w:rsid w:val="0094369C"/>
    <w:rsid w:val="0094467E"/>
    <w:rsid w:val="00944829"/>
    <w:rsid w:val="009448D2"/>
    <w:rsid w:val="00944BEC"/>
    <w:rsid w:val="009507AB"/>
    <w:rsid w:val="00950B4B"/>
    <w:rsid w:val="00954BB2"/>
    <w:rsid w:val="00963C14"/>
    <w:rsid w:val="00964814"/>
    <w:rsid w:val="009655AA"/>
    <w:rsid w:val="00966F2D"/>
    <w:rsid w:val="00975CE7"/>
    <w:rsid w:val="00980FA0"/>
    <w:rsid w:val="00991B6D"/>
    <w:rsid w:val="00993EE4"/>
    <w:rsid w:val="00996B06"/>
    <w:rsid w:val="009A0B57"/>
    <w:rsid w:val="009A1A2C"/>
    <w:rsid w:val="009A6A5E"/>
    <w:rsid w:val="009B27A3"/>
    <w:rsid w:val="009B3DE9"/>
    <w:rsid w:val="009B4662"/>
    <w:rsid w:val="009C1547"/>
    <w:rsid w:val="009C60CA"/>
    <w:rsid w:val="009C7C33"/>
    <w:rsid w:val="009D2D07"/>
    <w:rsid w:val="009D464E"/>
    <w:rsid w:val="009D482A"/>
    <w:rsid w:val="009D52BF"/>
    <w:rsid w:val="009D6550"/>
    <w:rsid w:val="009E0BC1"/>
    <w:rsid w:val="009E1243"/>
    <w:rsid w:val="009E413B"/>
    <w:rsid w:val="009E6DF4"/>
    <w:rsid w:val="009F2CD8"/>
    <w:rsid w:val="009F7ACF"/>
    <w:rsid w:val="00A0100E"/>
    <w:rsid w:val="00A07448"/>
    <w:rsid w:val="00A11608"/>
    <w:rsid w:val="00A1376F"/>
    <w:rsid w:val="00A168C0"/>
    <w:rsid w:val="00A1698B"/>
    <w:rsid w:val="00A23032"/>
    <w:rsid w:val="00A25CA3"/>
    <w:rsid w:val="00A260F3"/>
    <w:rsid w:val="00A27C6B"/>
    <w:rsid w:val="00A27E48"/>
    <w:rsid w:val="00A30E01"/>
    <w:rsid w:val="00A353F1"/>
    <w:rsid w:val="00A363E4"/>
    <w:rsid w:val="00A36EED"/>
    <w:rsid w:val="00A40F5D"/>
    <w:rsid w:val="00A41FEC"/>
    <w:rsid w:val="00A420FD"/>
    <w:rsid w:val="00A42B3E"/>
    <w:rsid w:val="00A5333A"/>
    <w:rsid w:val="00A56FB2"/>
    <w:rsid w:val="00A76C0A"/>
    <w:rsid w:val="00A7754D"/>
    <w:rsid w:val="00A822E5"/>
    <w:rsid w:val="00A82843"/>
    <w:rsid w:val="00A86183"/>
    <w:rsid w:val="00A872DD"/>
    <w:rsid w:val="00A87BEB"/>
    <w:rsid w:val="00A90070"/>
    <w:rsid w:val="00A945F9"/>
    <w:rsid w:val="00AA2C33"/>
    <w:rsid w:val="00AA390D"/>
    <w:rsid w:val="00AB13A9"/>
    <w:rsid w:val="00AB517A"/>
    <w:rsid w:val="00AC6459"/>
    <w:rsid w:val="00AD0E37"/>
    <w:rsid w:val="00AD2EC0"/>
    <w:rsid w:val="00AD5DFF"/>
    <w:rsid w:val="00AD7455"/>
    <w:rsid w:val="00AE07A6"/>
    <w:rsid w:val="00AE1D2A"/>
    <w:rsid w:val="00AE217E"/>
    <w:rsid w:val="00AE6DA1"/>
    <w:rsid w:val="00AE76FE"/>
    <w:rsid w:val="00AE78F6"/>
    <w:rsid w:val="00AF218D"/>
    <w:rsid w:val="00AF21D8"/>
    <w:rsid w:val="00B002B1"/>
    <w:rsid w:val="00B0136C"/>
    <w:rsid w:val="00B05BEF"/>
    <w:rsid w:val="00B10947"/>
    <w:rsid w:val="00B14045"/>
    <w:rsid w:val="00B145EC"/>
    <w:rsid w:val="00B1710E"/>
    <w:rsid w:val="00B17CB7"/>
    <w:rsid w:val="00B22892"/>
    <w:rsid w:val="00B257D5"/>
    <w:rsid w:val="00B2789A"/>
    <w:rsid w:val="00B32C30"/>
    <w:rsid w:val="00B37CBC"/>
    <w:rsid w:val="00B42749"/>
    <w:rsid w:val="00B60E54"/>
    <w:rsid w:val="00B61C06"/>
    <w:rsid w:val="00B61C9B"/>
    <w:rsid w:val="00B642F7"/>
    <w:rsid w:val="00B66FA0"/>
    <w:rsid w:val="00B67675"/>
    <w:rsid w:val="00B74A9D"/>
    <w:rsid w:val="00B751B0"/>
    <w:rsid w:val="00B75FC4"/>
    <w:rsid w:val="00B7745C"/>
    <w:rsid w:val="00B8021D"/>
    <w:rsid w:val="00B81108"/>
    <w:rsid w:val="00B82BBD"/>
    <w:rsid w:val="00B8415D"/>
    <w:rsid w:val="00B93B7B"/>
    <w:rsid w:val="00B94013"/>
    <w:rsid w:val="00B9623A"/>
    <w:rsid w:val="00B97DC4"/>
    <w:rsid w:val="00BA1492"/>
    <w:rsid w:val="00BA2EAD"/>
    <w:rsid w:val="00BA3DEB"/>
    <w:rsid w:val="00BA76CE"/>
    <w:rsid w:val="00BC1018"/>
    <w:rsid w:val="00BC3F2D"/>
    <w:rsid w:val="00BD031B"/>
    <w:rsid w:val="00BD03DC"/>
    <w:rsid w:val="00BD72C2"/>
    <w:rsid w:val="00BE2384"/>
    <w:rsid w:val="00BE5E65"/>
    <w:rsid w:val="00BE7454"/>
    <w:rsid w:val="00BF0847"/>
    <w:rsid w:val="00BF2A9E"/>
    <w:rsid w:val="00BF747A"/>
    <w:rsid w:val="00C04721"/>
    <w:rsid w:val="00C053BE"/>
    <w:rsid w:val="00C1190C"/>
    <w:rsid w:val="00C15960"/>
    <w:rsid w:val="00C174C5"/>
    <w:rsid w:val="00C1755C"/>
    <w:rsid w:val="00C22656"/>
    <w:rsid w:val="00C24B91"/>
    <w:rsid w:val="00C304DD"/>
    <w:rsid w:val="00C3536F"/>
    <w:rsid w:val="00C355B8"/>
    <w:rsid w:val="00C3799B"/>
    <w:rsid w:val="00C418E7"/>
    <w:rsid w:val="00C42971"/>
    <w:rsid w:val="00C4521B"/>
    <w:rsid w:val="00C46B87"/>
    <w:rsid w:val="00C46CFD"/>
    <w:rsid w:val="00C47C0B"/>
    <w:rsid w:val="00C53C94"/>
    <w:rsid w:val="00C55600"/>
    <w:rsid w:val="00C61F09"/>
    <w:rsid w:val="00C64B69"/>
    <w:rsid w:val="00C70710"/>
    <w:rsid w:val="00C7313F"/>
    <w:rsid w:val="00C73EC7"/>
    <w:rsid w:val="00C74EAA"/>
    <w:rsid w:val="00C769D1"/>
    <w:rsid w:val="00C8445D"/>
    <w:rsid w:val="00C8555F"/>
    <w:rsid w:val="00C91648"/>
    <w:rsid w:val="00CA0F5D"/>
    <w:rsid w:val="00CA14EE"/>
    <w:rsid w:val="00CA1F79"/>
    <w:rsid w:val="00CA20C9"/>
    <w:rsid w:val="00CA2C41"/>
    <w:rsid w:val="00CB0D08"/>
    <w:rsid w:val="00CB116C"/>
    <w:rsid w:val="00CB6EC2"/>
    <w:rsid w:val="00CB77A7"/>
    <w:rsid w:val="00CC1B03"/>
    <w:rsid w:val="00CC508A"/>
    <w:rsid w:val="00CD0CC3"/>
    <w:rsid w:val="00CD26A5"/>
    <w:rsid w:val="00CD3C32"/>
    <w:rsid w:val="00CD57EC"/>
    <w:rsid w:val="00CE08A1"/>
    <w:rsid w:val="00CE3778"/>
    <w:rsid w:val="00CE3A26"/>
    <w:rsid w:val="00CE7227"/>
    <w:rsid w:val="00CF0D8B"/>
    <w:rsid w:val="00CF1C90"/>
    <w:rsid w:val="00CF3939"/>
    <w:rsid w:val="00CF3F1D"/>
    <w:rsid w:val="00CF5A14"/>
    <w:rsid w:val="00D0217B"/>
    <w:rsid w:val="00D050CA"/>
    <w:rsid w:val="00D10C38"/>
    <w:rsid w:val="00D11990"/>
    <w:rsid w:val="00D12793"/>
    <w:rsid w:val="00D148CF"/>
    <w:rsid w:val="00D14F35"/>
    <w:rsid w:val="00D206A7"/>
    <w:rsid w:val="00D213AF"/>
    <w:rsid w:val="00D2265D"/>
    <w:rsid w:val="00D246B8"/>
    <w:rsid w:val="00D26701"/>
    <w:rsid w:val="00D34845"/>
    <w:rsid w:val="00D37874"/>
    <w:rsid w:val="00D43750"/>
    <w:rsid w:val="00D44273"/>
    <w:rsid w:val="00D456F9"/>
    <w:rsid w:val="00D47744"/>
    <w:rsid w:val="00D503C2"/>
    <w:rsid w:val="00D529D0"/>
    <w:rsid w:val="00D54338"/>
    <w:rsid w:val="00D57270"/>
    <w:rsid w:val="00D57D77"/>
    <w:rsid w:val="00D607DA"/>
    <w:rsid w:val="00D60C48"/>
    <w:rsid w:val="00D6175B"/>
    <w:rsid w:val="00D6329D"/>
    <w:rsid w:val="00D63B51"/>
    <w:rsid w:val="00D63C90"/>
    <w:rsid w:val="00D63DBE"/>
    <w:rsid w:val="00D64DBF"/>
    <w:rsid w:val="00D65577"/>
    <w:rsid w:val="00D66059"/>
    <w:rsid w:val="00D67661"/>
    <w:rsid w:val="00D839A2"/>
    <w:rsid w:val="00D85247"/>
    <w:rsid w:val="00D94A88"/>
    <w:rsid w:val="00D95135"/>
    <w:rsid w:val="00D96732"/>
    <w:rsid w:val="00D97413"/>
    <w:rsid w:val="00D9786B"/>
    <w:rsid w:val="00DA0947"/>
    <w:rsid w:val="00DA3819"/>
    <w:rsid w:val="00DA5E29"/>
    <w:rsid w:val="00DB0CAA"/>
    <w:rsid w:val="00DB1F7E"/>
    <w:rsid w:val="00DB69E4"/>
    <w:rsid w:val="00DB7AFD"/>
    <w:rsid w:val="00DB7EF5"/>
    <w:rsid w:val="00DC55F8"/>
    <w:rsid w:val="00DC7DED"/>
    <w:rsid w:val="00DC7E8C"/>
    <w:rsid w:val="00DD2DFB"/>
    <w:rsid w:val="00DE0434"/>
    <w:rsid w:val="00DE18A6"/>
    <w:rsid w:val="00DE1FE1"/>
    <w:rsid w:val="00DE2697"/>
    <w:rsid w:val="00DF4E47"/>
    <w:rsid w:val="00E0254E"/>
    <w:rsid w:val="00E066AB"/>
    <w:rsid w:val="00E06737"/>
    <w:rsid w:val="00E10808"/>
    <w:rsid w:val="00E10CA0"/>
    <w:rsid w:val="00E154C5"/>
    <w:rsid w:val="00E2036D"/>
    <w:rsid w:val="00E25196"/>
    <w:rsid w:val="00E32878"/>
    <w:rsid w:val="00E36CC8"/>
    <w:rsid w:val="00E41A90"/>
    <w:rsid w:val="00E430FB"/>
    <w:rsid w:val="00E43309"/>
    <w:rsid w:val="00E437CE"/>
    <w:rsid w:val="00E44C25"/>
    <w:rsid w:val="00E471F3"/>
    <w:rsid w:val="00E47AC9"/>
    <w:rsid w:val="00E510A5"/>
    <w:rsid w:val="00E52862"/>
    <w:rsid w:val="00E54D08"/>
    <w:rsid w:val="00E572F0"/>
    <w:rsid w:val="00E73D19"/>
    <w:rsid w:val="00E815C4"/>
    <w:rsid w:val="00E81BF3"/>
    <w:rsid w:val="00E83B31"/>
    <w:rsid w:val="00E847DA"/>
    <w:rsid w:val="00E900EB"/>
    <w:rsid w:val="00E9042A"/>
    <w:rsid w:val="00E9297F"/>
    <w:rsid w:val="00E97EAC"/>
    <w:rsid w:val="00EA0F39"/>
    <w:rsid w:val="00EA275F"/>
    <w:rsid w:val="00EA42DB"/>
    <w:rsid w:val="00EA78EC"/>
    <w:rsid w:val="00EB13C8"/>
    <w:rsid w:val="00EB1B96"/>
    <w:rsid w:val="00EC0DA7"/>
    <w:rsid w:val="00EC227F"/>
    <w:rsid w:val="00EC3646"/>
    <w:rsid w:val="00EC4B29"/>
    <w:rsid w:val="00ED0B6E"/>
    <w:rsid w:val="00ED7059"/>
    <w:rsid w:val="00EE0D49"/>
    <w:rsid w:val="00EE3746"/>
    <w:rsid w:val="00EE3EA7"/>
    <w:rsid w:val="00EF01E3"/>
    <w:rsid w:val="00EF5162"/>
    <w:rsid w:val="00F02DB1"/>
    <w:rsid w:val="00F03D6C"/>
    <w:rsid w:val="00F044EF"/>
    <w:rsid w:val="00F07BA9"/>
    <w:rsid w:val="00F1440A"/>
    <w:rsid w:val="00F15058"/>
    <w:rsid w:val="00F25A5F"/>
    <w:rsid w:val="00F30768"/>
    <w:rsid w:val="00F351F4"/>
    <w:rsid w:val="00F40DEB"/>
    <w:rsid w:val="00F40FE3"/>
    <w:rsid w:val="00F440D8"/>
    <w:rsid w:val="00F539FF"/>
    <w:rsid w:val="00F543F5"/>
    <w:rsid w:val="00F54CE2"/>
    <w:rsid w:val="00F6137B"/>
    <w:rsid w:val="00F6358A"/>
    <w:rsid w:val="00F67222"/>
    <w:rsid w:val="00F67B1C"/>
    <w:rsid w:val="00F70C25"/>
    <w:rsid w:val="00F72C04"/>
    <w:rsid w:val="00F820CB"/>
    <w:rsid w:val="00F85B83"/>
    <w:rsid w:val="00F86421"/>
    <w:rsid w:val="00F93330"/>
    <w:rsid w:val="00F955AF"/>
    <w:rsid w:val="00F95A89"/>
    <w:rsid w:val="00FA0EA0"/>
    <w:rsid w:val="00FA4210"/>
    <w:rsid w:val="00FB3CB9"/>
    <w:rsid w:val="00FB4284"/>
    <w:rsid w:val="00FB4C54"/>
    <w:rsid w:val="00FB574F"/>
    <w:rsid w:val="00FB5D63"/>
    <w:rsid w:val="00FB5F85"/>
    <w:rsid w:val="00FB67E4"/>
    <w:rsid w:val="00FB70D2"/>
    <w:rsid w:val="00FB75A5"/>
    <w:rsid w:val="00FC1406"/>
    <w:rsid w:val="00FC35FB"/>
    <w:rsid w:val="00FC3672"/>
    <w:rsid w:val="00FC3B84"/>
    <w:rsid w:val="00FC3C46"/>
    <w:rsid w:val="00FC6609"/>
    <w:rsid w:val="00FC7078"/>
    <w:rsid w:val="00FD02E2"/>
    <w:rsid w:val="00FD0F1A"/>
    <w:rsid w:val="00FD4179"/>
    <w:rsid w:val="00FD4C49"/>
    <w:rsid w:val="00FD61F2"/>
    <w:rsid w:val="00FD74D8"/>
    <w:rsid w:val="00FE3694"/>
    <w:rsid w:val="00FE4256"/>
    <w:rsid w:val="00FF02A3"/>
    <w:rsid w:val="00FF0AD5"/>
    <w:rsid w:val="00FF6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06"/>
    <w:pPr>
      <w:spacing w:line="360" w:lineRule="auto"/>
    </w:pPr>
    <w:rPr>
      <w:rFonts w:ascii="Palatino Linotype" w:hAnsi="Palatino Linotype" w:cs="Times New Roman"/>
      <w:sz w:val="24"/>
    </w:rPr>
  </w:style>
  <w:style w:type="paragraph" w:styleId="Ttulo1">
    <w:name w:val="heading 1"/>
    <w:basedOn w:val="Normal"/>
    <w:next w:val="Normal"/>
    <w:link w:val="Ttulo1Car"/>
    <w:uiPriority w:val="9"/>
    <w:qFormat/>
    <w:rsid w:val="00760ECD"/>
    <w:pPr>
      <w:keepNext/>
      <w:keepLines/>
      <w:spacing w:before="480" w:after="0"/>
      <w:outlineLvl w:val="0"/>
    </w:pPr>
    <w:rPr>
      <w:rFonts w:eastAsiaTheme="majorEastAsia" w:cstheme="majorBidi"/>
      <w:bCs/>
      <w:sz w:val="28"/>
      <w:szCs w:val="28"/>
      <w:u w:val="single"/>
    </w:rPr>
  </w:style>
  <w:style w:type="paragraph" w:styleId="Ttulo2">
    <w:name w:val="heading 2"/>
    <w:basedOn w:val="Normal"/>
    <w:next w:val="Normal"/>
    <w:link w:val="Ttulo2Car"/>
    <w:uiPriority w:val="9"/>
    <w:unhideWhenUsed/>
    <w:qFormat/>
    <w:rsid w:val="00F25A5F"/>
    <w:pPr>
      <w:keepNext/>
      <w:keepLines/>
      <w:spacing w:before="200" w:after="0"/>
      <w:outlineLvl w:val="1"/>
    </w:pPr>
    <w:rPr>
      <w:rFonts w:eastAsiaTheme="majorEastAsia" w:cstheme="majorBidi"/>
      <w:b/>
      <w:bCs/>
      <w:szCs w:val="26"/>
      <w:u w:val="single"/>
    </w:rPr>
  </w:style>
  <w:style w:type="paragraph" w:styleId="Ttulo3">
    <w:name w:val="heading 3"/>
    <w:basedOn w:val="Normal"/>
    <w:next w:val="Normal"/>
    <w:link w:val="Ttulo3Car"/>
    <w:uiPriority w:val="9"/>
    <w:unhideWhenUsed/>
    <w:qFormat/>
    <w:rsid w:val="00843A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0ECD"/>
    <w:rPr>
      <w:rFonts w:ascii="Palatino Linotype" w:eastAsiaTheme="majorEastAsia" w:hAnsi="Palatino Linotype" w:cstheme="majorBidi"/>
      <w:bCs/>
      <w:sz w:val="28"/>
      <w:szCs w:val="28"/>
      <w:u w:val="single"/>
    </w:rPr>
  </w:style>
  <w:style w:type="paragraph" w:customStyle="1" w:styleId="oncenormal">
    <w:name w:val="oncenormal"/>
    <w:basedOn w:val="Normal"/>
    <w:rsid w:val="000E2827"/>
    <w:pPr>
      <w:spacing w:before="100" w:beforeAutospacing="1" w:after="100" w:afterAutospacing="1" w:line="240" w:lineRule="auto"/>
    </w:pPr>
    <w:rPr>
      <w:rFonts w:ascii="Times New Roman" w:hAnsi="Times New Roman"/>
      <w:szCs w:val="24"/>
      <w:lang w:eastAsia="es-ES"/>
    </w:rPr>
  </w:style>
  <w:style w:type="character" w:styleId="Textoennegrita">
    <w:name w:val="Strong"/>
    <w:basedOn w:val="Fuentedeprrafopredeter"/>
    <w:uiPriority w:val="22"/>
    <w:qFormat/>
    <w:rsid w:val="000E2827"/>
    <w:rPr>
      <w:b/>
      <w:bCs/>
    </w:rPr>
  </w:style>
  <w:style w:type="character" w:customStyle="1" w:styleId="apple-converted-space">
    <w:name w:val="apple-converted-space"/>
    <w:basedOn w:val="Fuentedeprrafopredeter"/>
    <w:rsid w:val="000E2827"/>
  </w:style>
  <w:style w:type="paragraph" w:styleId="Prrafodelista">
    <w:name w:val="List Paragraph"/>
    <w:basedOn w:val="Normal"/>
    <w:uiPriority w:val="34"/>
    <w:qFormat/>
    <w:rsid w:val="00B9623A"/>
    <w:pPr>
      <w:ind w:left="720"/>
      <w:contextualSpacing/>
    </w:pPr>
  </w:style>
  <w:style w:type="character" w:customStyle="1" w:styleId="Ttulo2Car">
    <w:name w:val="Título 2 Car"/>
    <w:basedOn w:val="Fuentedeprrafopredeter"/>
    <w:link w:val="Ttulo2"/>
    <w:uiPriority w:val="9"/>
    <w:rsid w:val="00F25A5F"/>
    <w:rPr>
      <w:rFonts w:ascii="Palatino Linotype" w:eastAsiaTheme="majorEastAsia" w:hAnsi="Palatino Linotype" w:cstheme="majorBidi"/>
      <w:b/>
      <w:bCs/>
      <w:sz w:val="24"/>
      <w:szCs w:val="26"/>
      <w:u w:val="single"/>
    </w:rPr>
  </w:style>
  <w:style w:type="paragraph" w:styleId="Textonotapie">
    <w:name w:val="footnote text"/>
    <w:basedOn w:val="Normal"/>
    <w:link w:val="TextonotapieCar"/>
    <w:uiPriority w:val="99"/>
    <w:unhideWhenUsed/>
    <w:rsid w:val="00D0217B"/>
    <w:pPr>
      <w:spacing w:after="0" w:line="240" w:lineRule="auto"/>
    </w:pPr>
    <w:rPr>
      <w:sz w:val="20"/>
      <w:szCs w:val="20"/>
    </w:rPr>
  </w:style>
  <w:style w:type="character" w:customStyle="1" w:styleId="TextonotapieCar">
    <w:name w:val="Texto nota pie Car"/>
    <w:basedOn w:val="Fuentedeprrafopredeter"/>
    <w:link w:val="Textonotapie"/>
    <w:uiPriority w:val="99"/>
    <w:rsid w:val="00D0217B"/>
    <w:rPr>
      <w:rFonts w:ascii="Palatino Linotype" w:hAnsi="Palatino Linotype" w:cs="Times New Roman"/>
      <w:sz w:val="20"/>
      <w:szCs w:val="20"/>
    </w:rPr>
  </w:style>
  <w:style w:type="character" w:styleId="Refdenotaalpie">
    <w:name w:val="footnote reference"/>
    <w:basedOn w:val="Fuentedeprrafopredeter"/>
    <w:uiPriority w:val="99"/>
    <w:semiHidden/>
    <w:unhideWhenUsed/>
    <w:rsid w:val="00D0217B"/>
    <w:rPr>
      <w:vertAlign w:val="superscript"/>
    </w:rPr>
  </w:style>
  <w:style w:type="character" w:customStyle="1" w:styleId="Ttulo3Car">
    <w:name w:val="Título 3 Car"/>
    <w:basedOn w:val="Fuentedeprrafopredeter"/>
    <w:link w:val="Ttulo3"/>
    <w:uiPriority w:val="9"/>
    <w:rsid w:val="00843A53"/>
    <w:rPr>
      <w:rFonts w:asciiTheme="majorHAnsi" w:eastAsiaTheme="majorEastAsia" w:hAnsiTheme="majorHAnsi" w:cstheme="majorBidi"/>
      <w:b/>
      <w:bCs/>
      <w:color w:val="4F81BD" w:themeColor="accent1"/>
      <w:sz w:val="24"/>
    </w:rPr>
  </w:style>
  <w:style w:type="paragraph" w:styleId="Mapadeldocumento">
    <w:name w:val="Document Map"/>
    <w:basedOn w:val="Normal"/>
    <w:link w:val="MapadeldocumentoCar"/>
    <w:uiPriority w:val="99"/>
    <w:semiHidden/>
    <w:unhideWhenUsed/>
    <w:rsid w:val="006C139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C1392"/>
    <w:rPr>
      <w:rFonts w:ascii="Tahoma" w:hAnsi="Tahoma" w:cs="Tahoma"/>
      <w:sz w:val="16"/>
      <w:szCs w:val="16"/>
    </w:rPr>
  </w:style>
  <w:style w:type="paragraph" w:styleId="Encabezado">
    <w:name w:val="header"/>
    <w:basedOn w:val="Normal"/>
    <w:link w:val="EncabezadoCar"/>
    <w:uiPriority w:val="99"/>
    <w:unhideWhenUsed/>
    <w:rsid w:val="00DB7E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7EF5"/>
    <w:rPr>
      <w:rFonts w:ascii="Palatino Linotype" w:hAnsi="Palatino Linotype" w:cs="Times New Roman"/>
      <w:sz w:val="24"/>
    </w:rPr>
  </w:style>
  <w:style w:type="paragraph" w:styleId="Piedepgina">
    <w:name w:val="footer"/>
    <w:basedOn w:val="Normal"/>
    <w:link w:val="PiedepginaCar"/>
    <w:uiPriority w:val="99"/>
    <w:unhideWhenUsed/>
    <w:rsid w:val="00DB7E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7EF5"/>
    <w:rPr>
      <w:rFonts w:ascii="Palatino Linotype" w:hAnsi="Palatino Linotype" w:cs="Times New Roman"/>
      <w:sz w:val="24"/>
    </w:rPr>
  </w:style>
  <w:style w:type="paragraph" w:styleId="Textodeglobo">
    <w:name w:val="Balloon Text"/>
    <w:basedOn w:val="Normal"/>
    <w:link w:val="TextodegloboCar"/>
    <w:uiPriority w:val="99"/>
    <w:semiHidden/>
    <w:unhideWhenUsed/>
    <w:rsid w:val="00DB7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EF5"/>
    <w:rPr>
      <w:rFonts w:ascii="Tahoma" w:hAnsi="Tahoma" w:cs="Tahoma"/>
      <w:sz w:val="16"/>
      <w:szCs w:val="16"/>
    </w:rPr>
  </w:style>
  <w:style w:type="paragraph" w:styleId="TtulodeTDC">
    <w:name w:val="TOC Heading"/>
    <w:basedOn w:val="Ttulo1"/>
    <w:next w:val="Normal"/>
    <w:uiPriority w:val="39"/>
    <w:unhideWhenUsed/>
    <w:qFormat/>
    <w:rsid w:val="00B37CBC"/>
    <w:pPr>
      <w:spacing w:line="276" w:lineRule="auto"/>
      <w:outlineLvl w:val="9"/>
    </w:pPr>
    <w:rPr>
      <w:lang w:eastAsia="es-ES"/>
    </w:rPr>
  </w:style>
  <w:style w:type="paragraph" w:styleId="TDC1">
    <w:name w:val="toc 1"/>
    <w:basedOn w:val="Normal"/>
    <w:next w:val="Normal"/>
    <w:autoRedefine/>
    <w:uiPriority w:val="39"/>
    <w:unhideWhenUsed/>
    <w:rsid w:val="00AE76FE"/>
    <w:pPr>
      <w:tabs>
        <w:tab w:val="right" w:leader="dot" w:pos="8494"/>
      </w:tabs>
      <w:spacing w:after="100" w:line="276" w:lineRule="auto"/>
    </w:pPr>
    <w:rPr>
      <w:rFonts w:eastAsiaTheme="majorEastAsia"/>
      <w:b/>
      <w:noProof/>
    </w:rPr>
  </w:style>
  <w:style w:type="paragraph" w:styleId="TDC2">
    <w:name w:val="toc 2"/>
    <w:basedOn w:val="Normal"/>
    <w:next w:val="Normal"/>
    <w:autoRedefine/>
    <w:uiPriority w:val="39"/>
    <w:unhideWhenUsed/>
    <w:rsid w:val="00B37CBC"/>
    <w:pPr>
      <w:spacing w:after="100"/>
      <w:ind w:left="240"/>
    </w:pPr>
  </w:style>
  <w:style w:type="character" w:styleId="Hipervnculo">
    <w:name w:val="Hyperlink"/>
    <w:basedOn w:val="Fuentedeprrafopredeter"/>
    <w:uiPriority w:val="99"/>
    <w:unhideWhenUsed/>
    <w:rsid w:val="00B37C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06"/>
    <w:pPr>
      <w:spacing w:line="360" w:lineRule="auto"/>
    </w:pPr>
    <w:rPr>
      <w:rFonts w:ascii="Palatino Linotype" w:hAnsi="Palatino Linotype" w:cs="Times New Roman"/>
      <w:sz w:val="24"/>
    </w:rPr>
  </w:style>
  <w:style w:type="paragraph" w:styleId="Ttulo1">
    <w:name w:val="heading 1"/>
    <w:basedOn w:val="Normal"/>
    <w:next w:val="Normal"/>
    <w:link w:val="Ttulo1Car"/>
    <w:uiPriority w:val="9"/>
    <w:qFormat/>
    <w:rsid w:val="00760ECD"/>
    <w:pPr>
      <w:keepNext/>
      <w:keepLines/>
      <w:spacing w:before="480" w:after="0"/>
      <w:outlineLvl w:val="0"/>
    </w:pPr>
    <w:rPr>
      <w:rFonts w:eastAsiaTheme="majorEastAsia" w:cstheme="majorBidi"/>
      <w:bCs/>
      <w:sz w:val="28"/>
      <w:szCs w:val="28"/>
      <w:u w:val="single"/>
    </w:rPr>
  </w:style>
  <w:style w:type="paragraph" w:styleId="Ttulo2">
    <w:name w:val="heading 2"/>
    <w:basedOn w:val="Normal"/>
    <w:next w:val="Normal"/>
    <w:link w:val="Ttulo2Car"/>
    <w:uiPriority w:val="9"/>
    <w:unhideWhenUsed/>
    <w:qFormat/>
    <w:rsid w:val="00F25A5F"/>
    <w:pPr>
      <w:keepNext/>
      <w:keepLines/>
      <w:spacing w:before="200" w:after="0"/>
      <w:outlineLvl w:val="1"/>
    </w:pPr>
    <w:rPr>
      <w:rFonts w:eastAsiaTheme="majorEastAsia" w:cstheme="majorBidi"/>
      <w:b/>
      <w:bCs/>
      <w:szCs w:val="26"/>
      <w:u w:val="single"/>
    </w:rPr>
  </w:style>
  <w:style w:type="paragraph" w:styleId="Ttulo3">
    <w:name w:val="heading 3"/>
    <w:basedOn w:val="Normal"/>
    <w:next w:val="Normal"/>
    <w:link w:val="Ttulo3Car"/>
    <w:uiPriority w:val="9"/>
    <w:unhideWhenUsed/>
    <w:qFormat/>
    <w:rsid w:val="00843A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0ECD"/>
    <w:rPr>
      <w:rFonts w:ascii="Palatino Linotype" w:eastAsiaTheme="majorEastAsia" w:hAnsi="Palatino Linotype" w:cstheme="majorBidi"/>
      <w:bCs/>
      <w:sz w:val="28"/>
      <w:szCs w:val="28"/>
      <w:u w:val="single"/>
    </w:rPr>
  </w:style>
  <w:style w:type="paragraph" w:customStyle="1" w:styleId="oncenormal">
    <w:name w:val="oncenormal"/>
    <w:basedOn w:val="Normal"/>
    <w:rsid w:val="000E2827"/>
    <w:pPr>
      <w:spacing w:before="100" w:beforeAutospacing="1" w:after="100" w:afterAutospacing="1" w:line="240" w:lineRule="auto"/>
    </w:pPr>
    <w:rPr>
      <w:rFonts w:ascii="Times New Roman" w:hAnsi="Times New Roman"/>
      <w:szCs w:val="24"/>
      <w:lang w:eastAsia="es-ES"/>
    </w:rPr>
  </w:style>
  <w:style w:type="character" w:styleId="Textoennegrita">
    <w:name w:val="Strong"/>
    <w:basedOn w:val="Fuentedeprrafopredeter"/>
    <w:uiPriority w:val="22"/>
    <w:qFormat/>
    <w:rsid w:val="000E2827"/>
    <w:rPr>
      <w:b/>
      <w:bCs/>
    </w:rPr>
  </w:style>
  <w:style w:type="character" w:customStyle="1" w:styleId="apple-converted-space">
    <w:name w:val="apple-converted-space"/>
    <w:basedOn w:val="Fuentedeprrafopredeter"/>
    <w:rsid w:val="000E2827"/>
  </w:style>
  <w:style w:type="paragraph" w:styleId="Prrafodelista">
    <w:name w:val="List Paragraph"/>
    <w:basedOn w:val="Normal"/>
    <w:uiPriority w:val="34"/>
    <w:qFormat/>
    <w:rsid w:val="00B9623A"/>
    <w:pPr>
      <w:ind w:left="720"/>
      <w:contextualSpacing/>
    </w:pPr>
  </w:style>
  <w:style w:type="character" w:customStyle="1" w:styleId="Ttulo2Car">
    <w:name w:val="Título 2 Car"/>
    <w:basedOn w:val="Fuentedeprrafopredeter"/>
    <w:link w:val="Ttulo2"/>
    <w:uiPriority w:val="9"/>
    <w:rsid w:val="00F25A5F"/>
    <w:rPr>
      <w:rFonts w:ascii="Palatino Linotype" w:eastAsiaTheme="majorEastAsia" w:hAnsi="Palatino Linotype" w:cstheme="majorBidi"/>
      <w:b/>
      <w:bCs/>
      <w:sz w:val="24"/>
      <w:szCs w:val="26"/>
      <w:u w:val="single"/>
    </w:rPr>
  </w:style>
  <w:style w:type="paragraph" w:styleId="Textonotapie">
    <w:name w:val="footnote text"/>
    <w:basedOn w:val="Normal"/>
    <w:link w:val="TextonotapieCar"/>
    <w:uiPriority w:val="99"/>
    <w:unhideWhenUsed/>
    <w:rsid w:val="00D0217B"/>
    <w:pPr>
      <w:spacing w:after="0" w:line="240" w:lineRule="auto"/>
    </w:pPr>
    <w:rPr>
      <w:sz w:val="20"/>
      <w:szCs w:val="20"/>
    </w:rPr>
  </w:style>
  <w:style w:type="character" w:customStyle="1" w:styleId="TextonotapieCar">
    <w:name w:val="Texto nota pie Car"/>
    <w:basedOn w:val="Fuentedeprrafopredeter"/>
    <w:link w:val="Textonotapie"/>
    <w:uiPriority w:val="99"/>
    <w:rsid w:val="00D0217B"/>
    <w:rPr>
      <w:rFonts w:ascii="Palatino Linotype" w:hAnsi="Palatino Linotype" w:cs="Times New Roman"/>
      <w:sz w:val="20"/>
      <w:szCs w:val="20"/>
    </w:rPr>
  </w:style>
  <w:style w:type="character" w:styleId="Refdenotaalpie">
    <w:name w:val="footnote reference"/>
    <w:basedOn w:val="Fuentedeprrafopredeter"/>
    <w:uiPriority w:val="99"/>
    <w:semiHidden/>
    <w:unhideWhenUsed/>
    <w:rsid w:val="00D0217B"/>
    <w:rPr>
      <w:vertAlign w:val="superscript"/>
    </w:rPr>
  </w:style>
  <w:style w:type="character" w:customStyle="1" w:styleId="Ttulo3Car">
    <w:name w:val="Título 3 Car"/>
    <w:basedOn w:val="Fuentedeprrafopredeter"/>
    <w:link w:val="Ttulo3"/>
    <w:uiPriority w:val="9"/>
    <w:rsid w:val="00843A53"/>
    <w:rPr>
      <w:rFonts w:asciiTheme="majorHAnsi" w:eastAsiaTheme="majorEastAsia" w:hAnsiTheme="majorHAnsi" w:cstheme="majorBidi"/>
      <w:b/>
      <w:bCs/>
      <w:color w:val="4F81BD" w:themeColor="accent1"/>
      <w:sz w:val="24"/>
    </w:rPr>
  </w:style>
  <w:style w:type="paragraph" w:styleId="Mapadeldocumento">
    <w:name w:val="Document Map"/>
    <w:basedOn w:val="Normal"/>
    <w:link w:val="MapadeldocumentoCar"/>
    <w:uiPriority w:val="99"/>
    <w:semiHidden/>
    <w:unhideWhenUsed/>
    <w:rsid w:val="006C139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C1392"/>
    <w:rPr>
      <w:rFonts w:ascii="Tahoma" w:hAnsi="Tahoma" w:cs="Tahoma"/>
      <w:sz w:val="16"/>
      <w:szCs w:val="16"/>
    </w:rPr>
  </w:style>
  <w:style w:type="paragraph" w:styleId="Encabezado">
    <w:name w:val="header"/>
    <w:basedOn w:val="Normal"/>
    <w:link w:val="EncabezadoCar"/>
    <w:uiPriority w:val="99"/>
    <w:unhideWhenUsed/>
    <w:rsid w:val="00DB7E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7EF5"/>
    <w:rPr>
      <w:rFonts w:ascii="Palatino Linotype" w:hAnsi="Palatino Linotype" w:cs="Times New Roman"/>
      <w:sz w:val="24"/>
    </w:rPr>
  </w:style>
  <w:style w:type="paragraph" w:styleId="Piedepgina">
    <w:name w:val="footer"/>
    <w:basedOn w:val="Normal"/>
    <w:link w:val="PiedepginaCar"/>
    <w:uiPriority w:val="99"/>
    <w:unhideWhenUsed/>
    <w:rsid w:val="00DB7E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7EF5"/>
    <w:rPr>
      <w:rFonts w:ascii="Palatino Linotype" w:hAnsi="Palatino Linotype" w:cs="Times New Roman"/>
      <w:sz w:val="24"/>
    </w:rPr>
  </w:style>
  <w:style w:type="paragraph" w:styleId="Textodeglobo">
    <w:name w:val="Balloon Text"/>
    <w:basedOn w:val="Normal"/>
    <w:link w:val="TextodegloboCar"/>
    <w:uiPriority w:val="99"/>
    <w:semiHidden/>
    <w:unhideWhenUsed/>
    <w:rsid w:val="00DB7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EF5"/>
    <w:rPr>
      <w:rFonts w:ascii="Tahoma" w:hAnsi="Tahoma" w:cs="Tahoma"/>
      <w:sz w:val="16"/>
      <w:szCs w:val="16"/>
    </w:rPr>
  </w:style>
  <w:style w:type="paragraph" w:styleId="TtulodeTDC">
    <w:name w:val="TOC Heading"/>
    <w:basedOn w:val="Ttulo1"/>
    <w:next w:val="Normal"/>
    <w:uiPriority w:val="39"/>
    <w:unhideWhenUsed/>
    <w:qFormat/>
    <w:rsid w:val="00B37CBC"/>
    <w:pPr>
      <w:spacing w:line="276" w:lineRule="auto"/>
      <w:outlineLvl w:val="9"/>
    </w:pPr>
    <w:rPr>
      <w:lang w:eastAsia="es-ES"/>
    </w:rPr>
  </w:style>
  <w:style w:type="paragraph" w:styleId="TDC1">
    <w:name w:val="toc 1"/>
    <w:basedOn w:val="Normal"/>
    <w:next w:val="Normal"/>
    <w:autoRedefine/>
    <w:uiPriority w:val="39"/>
    <w:unhideWhenUsed/>
    <w:rsid w:val="00AE76FE"/>
    <w:pPr>
      <w:tabs>
        <w:tab w:val="right" w:leader="dot" w:pos="8494"/>
      </w:tabs>
      <w:spacing w:after="100" w:line="276" w:lineRule="auto"/>
    </w:pPr>
    <w:rPr>
      <w:rFonts w:eastAsiaTheme="majorEastAsia"/>
      <w:b/>
      <w:noProof/>
    </w:rPr>
  </w:style>
  <w:style w:type="paragraph" w:styleId="TDC2">
    <w:name w:val="toc 2"/>
    <w:basedOn w:val="Normal"/>
    <w:next w:val="Normal"/>
    <w:autoRedefine/>
    <w:uiPriority w:val="39"/>
    <w:unhideWhenUsed/>
    <w:rsid w:val="00B37CBC"/>
    <w:pPr>
      <w:spacing w:after="100"/>
      <w:ind w:left="240"/>
    </w:pPr>
  </w:style>
  <w:style w:type="character" w:styleId="Hipervnculo">
    <w:name w:val="Hyperlink"/>
    <w:basedOn w:val="Fuentedeprrafopredeter"/>
    <w:uiPriority w:val="99"/>
    <w:unhideWhenUsed/>
    <w:rsid w:val="00B37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4">
      <w:bodyDiv w:val="1"/>
      <w:marLeft w:val="0"/>
      <w:marRight w:val="0"/>
      <w:marTop w:val="0"/>
      <w:marBottom w:val="0"/>
      <w:divBdr>
        <w:top w:val="none" w:sz="0" w:space="0" w:color="auto"/>
        <w:left w:val="none" w:sz="0" w:space="0" w:color="auto"/>
        <w:bottom w:val="none" w:sz="0" w:space="0" w:color="auto"/>
        <w:right w:val="none" w:sz="0" w:space="0" w:color="auto"/>
      </w:divBdr>
    </w:div>
    <w:div w:id="51268706">
      <w:bodyDiv w:val="1"/>
      <w:marLeft w:val="0"/>
      <w:marRight w:val="0"/>
      <w:marTop w:val="0"/>
      <w:marBottom w:val="0"/>
      <w:divBdr>
        <w:top w:val="none" w:sz="0" w:space="0" w:color="auto"/>
        <w:left w:val="none" w:sz="0" w:space="0" w:color="auto"/>
        <w:bottom w:val="none" w:sz="0" w:space="0" w:color="auto"/>
        <w:right w:val="none" w:sz="0" w:space="0" w:color="auto"/>
      </w:divBdr>
      <w:divsChild>
        <w:div w:id="27145620">
          <w:marLeft w:val="0"/>
          <w:marRight w:val="0"/>
          <w:marTop w:val="0"/>
          <w:marBottom w:val="0"/>
          <w:divBdr>
            <w:top w:val="single" w:sz="12" w:space="2" w:color="000000"/>
            <w:left w:val="single" w:sz="12" w:space="2" w:color="000000"/>
            <w:bottom w:val="single" w:sz="12" w:space="2" w:color="000000"/>
            <w:right w:val="single" w:sz="12" w:space="2" w:color="000000"/>
          </w:divBdr>
        </w:div>
      </w:divsChild>
    </w:div>
    <w:div w:id="59327240">
      <w:bodyDiv w:val="1"/>
      <w:marLeft w:val="0"/>
      <w:marRight w:val="0"/>
      <w:marTop w:val="0"/>
      <w:marBottom w:val="0"/>
      <w:divBdr>
        <w:top w:val="none" w:sz="0" w:space="0" w:color="auto"/>
        <w:left w:val="none" w:sz="0" w:space="0" w:color="auto"/>
        <w:bottom w:val="none" w:sz="0" w:space="0" w:color="auto"/>
        <w:right w:val="none" w:sz="0" w:space="0" w:color="auto"/>
      </w:divBdr>
    </w:div>
    <w:div w:id="126903003">
      <w:bodyDiv w:val="1"/>
      <w:marLeft w:val="0"/>
      <w:marRight w:val="0"/>
      <w:marTop w:val="0"/>
      <w:marBottom w:val="0"/>
      <w:divBdr>
        <w:top w:val="none" w:sz="0" w:space="0" w:color="auto"/>
        <w:left w:val="none" w:sz="0" w:space="0" w:color="auto"/>
        <w:bottom w:val="none" w:sz="0" w:space="0" w:color="auto"/>
        <w:right w:val="none" w:sz="0" w:space="0" w:color="auto"/>
      </w:divBdr>
    </w:div>
    <w:div w:id="135419090">
      <w:bodyDiv w:val="1"/>
      <w:marLeft w:val="0"/>
      <w:marRight w:val="0"/>
      <w:marTop w:val="0"/>
      <w:marBottom w:val="0"/>
      <w:divBdr>
        <w:top w:val="none" w:sz="0" w:space="0" w:color="auto"/>
        <w:left w:val="none" w:sz="0" w:space="0" w:color="auto"/>
        <w:bottom w:val="none" w:sz="0" w:space="0" w:color="auto"/>
        <w:right w:val="none" w:sz="0" w:space="0" w:color="auto"/>
      </w:divBdr>
    </w:div>
    <w:div w:id="144014995">
      <w:bodyDiv w:val="1"/>
      <w:marLeft w:val="0"/>
      <w:marRight w:val="0"/>
      <w:marTop w:val="0"/>
      <w:marBottom w:val="0"/>
      <w:divBdr>
        <w:top w:val="none" w:sz="0" w:space="0" w:color="auto"/>
        <w:left w:val="none" w:sz="0" w:space="0" w:color="auto"/>
        <w:bottom w:val="none" w:sz="0" w:space="0" w:color="auto"/>
        <w:right w:val="none" w:sz="0" w:space="0" w:color="auto"/>
      </w:divBdr>
    </w:div>
    <w:div w:id="157502011">
      <w:bodyDiv w:val="1"/>
      <w:marLeft w:val="0"/>
      <w:marRight w:val="0"/>
      <w:marTop w:val="0"/>
      <w:marBottom w:val="0"/>
      <w:divBdr>
        <w:top w:val="none" w:sz="0" w:space="0" w:color="auto"/>
        <w:left w:val="none" w:sz="0" w:space="0" w:color="auto"/>
        <w:bottom w:val="none" w:sz="0" w:space="0" w:color="auto"/>
        <w:right w:val="none" w:sz="0" w:space="0" w:color="auto"/>
      </w:divBdr>
    </w:div>
    <w:div w:id="232131869">
      <w:bodyDiv w:val="1"/>
      <w:marLeft w:val="0"/>
      <w:marRight w:val="0"/>
      <w:marTop w:val="0"/>
      <w:marBottom w:val="0"/>
      <w:divBdr>
        <w:top w:val="none" w:sz="0" w:space="0" w:color="auto"/>
        <w:left w:val="none" w:sz="0" w:space="0" w:color="auto"/>
        <w:bottom w:val="none" w:sz="0" w:space="0" w:color="auto"/>
        <w:right w:val="none" w:sz="0" w:space="0" w:color="auto"/>
      </w:divBdr>
    </w:div>
    <w:div w:id="258682465">
      <w:bodyDiv w:val="1"/>
      <w:marLeft w:val="0"/>
      <w:marRight w:val="0"/>
      <w:marTop w:val="0"/>
      <w:marBottom w:val="0"/>
      <w:divBdr>
        <w:top w:val="none" w:sz="0" w:space="0" w:color="auto"/>
        <w:left w:val="none" w:sz="0" w:space="0" w:color="auto"/>
        <w:bottom w:val="none" w:sz="0" w:space="0" w:color="auto"/>
        <w:right w:val="none" w:sz="0" w:space="0" w:color="auto"/>
      </w:divBdr>
    </w:div>
    <w:div w:id="304510986">
      <w:bodyDiv w:val="1"/>
      <w:marLeft w:val="0"/>
      <w:marRight w:val="0"/>
      <w:marTop w:val="0"/>
      <w:marBottom w:val="0"/>
      <w:divBdr>
        <w:top w:val="none" w:sz="0" w:space="0" w:color="auto"/>
        <w:left w:val="none" w:sz="0" w:space="0" w:color="auto"/>
        <w:bottom w:val="none" w:sz="0" w:space="0" w:color="auto"/>
        <w:right w:val="none" w:sz="0" w:space="0" w:color="auto"/>
      </w:divBdr>
    </w:div>
    <w:div w:id="349962859">
      <w:bodyDiv w:val="1"/>
      <w:marLeft w:val="0"/>
      <w:marRight w:val="0"/>
      <w:marTop w:val="0"/>
      <w:marBottom w:val="0"/>
      <w:divBdr>
        <w:top w:val="none" w:sz="0" w:space="0" w:color="auto"/>
        <w:left w:val="none" w:sz="0" w:space="0" w:color="auto"/>
        <w:bottom w:val="none" w:sz="0" w:space="0" w:color="auto"/>
        <w:right w:val="none" w:sz="0" w:space="0" w:color="auto"/>
      </w:divBdr>
    </w:div>
    <w:div w:id="359867046">
      <w:bodyDiv w:val="1"/>
      <w:marLeft w:val="0"/>
      <w:marRight w:val="0"/>
      <w:marTop w:val="0"/>
      <w:marBottom w:val="0"/>
      <w:divBdr>
        <w:top w:val="none" w:sz="0" w:space="0" w:color="auto"/>
        <w:left w:val="none" w:sz="0" w:space="0" w:color="auto"/>
        <w:bottom w:val="none" w:sz="0" w:space="0" w:color="auto"/>
        <w:right w:val="none" w:sz="0" w:space="0" w:color="auto"/>
      </w:divBdr>
    </w:div>
    <w:div w:id="364985251">
      <w:bodyDiv w:val="1"/>
      <w:marLeft w:val="0"/>
      <w:marRight w:val="0"/>
      <w:marTop w:val="0"/>
      <w:marBottom w:val="0"/>
      <w:divBdr>
        <w:top w:val="none" w:sz="0" w:space="0" w:color="auto"/>
        <w:left w:val="none" w:sz="0" w:space="0" w:color="auto"/>
        <w:bottom w:val="none" w:sz="0" w:space="0" w:color="auto"/>
        <w:right w:val="none" w:sz="0" w:space="0" w:color="auto"/>
      </w:divBdr>
    </w:div>
    <w:div w:id="508525116">
      <w:bodyDiv w:val="1"/>
      <w:marLeft w:val="0"/>
      <w:marRight w:val="0"/>
      <w:marTop w:val="0"/>
      <w:marBottom w:val="0"/>
      <w:divBdr>
        <w:top w:val="none" w:sz="0" w:space="0" w:color="auto"/>
        <w:left w:val="none" w:sz="0" w:space="0" w:color="auto"/>
        <w:bottom w:val="none" w:sz="0" w:space="0" w:color="auto"/>
        <w:right w:val="none" w:sz="0" w:space="0" w:color="auto"/>
      </w:divBdr>
    </w:div>
    <w:div w:id="613362101">
      <w:bodyDiv w:val="1"/>
      <w:marLeft w:val="0"/>
      <w:marRight w:val="0"/>
      <w:marTop w:val="0"/>
      <w:marBottom w:val="0"/>
      <w:divBdr>
        <w:top w:val="none" w:sz="0" w:space="0" w:color="auto"/>
        <w:left w:val="none" w:sz="0" w:space="0" w:color="auto"/>
        <w:bottom w:val="none" w:sz="0" w:space="0" w:color="auto"/>
        <w:right w:val="none" w:sz="0" w:space="0" w:color="auto"/>
      </w:divBdr>
    </w:div>
    <w:div w:id="631448499">
      <w:bodyDiv w:val="1"/>
      <w:marLeft w:val="0"/>
      <w:marRight w:val="0"/>
      <w:marTop w:val="0"/>
      <w:marBottom w:val="0"/>
      <w:divBdr>
        <w:top w:val="none" w:sz="0" w:space="0" w:color="auto"/>
        <w:left w:val="none" w:sz="0" w:space="0" w:color="auto"/>
        <w:bottom w:val="none" w:sz="0" w:space="0" w:color="auto"/>
        <w:right w:val="none" w:sz="0" w:space="0" w:color="auto"/>
      </w:divBdr>
    </w:div>
    <w:div w:id="631790893">
      <w:bodyDiv w:val="1"/>
      <w:marLeft w:val="0"/>
      <w:marRight w:val="0"/>
      <w:marTop w:val="0"/>
      <w:marBottom w:val="0"/>
      <w:divBdr>
        <w:top w:val="none" w:sz="0" w:space="0" w:color="auto"/>
        <w:left w:val="none" w:sz="0" w:space="0" w:color="auto"/>
        <w:bottom w:val="none" w:sz="0" w:space="0" w:color="auto"/>
        <w:right w:val="none" w:sz="0" w:space="0" w:color="auto"/>
      </w:divBdr>
    </w:div>
    <w:div w:id="654605039">
      <w:bodyDiv w:val="1"/>
      <w:marLeft w:val="0"/>
      <w:marRight w:val="0"/>
      <w:marTop w:val="0"/>
      <w:marBottom w:val="0"/>
      <w:divBdr>
        <w:top w:val="none" w:sz="0" w:space="0" w:color="auto"/>
        <w:left w:val="none" w:sz="0" w:space="0" w:color="auto"/>
        <w:bottom w:val="none" w:sz="0" w:space="0" w:color="auto"/>
        <w:right w:val="none" w:sz="0" w:space="0" w:color="auto"/>
      </w:divBdr>
    </w:div>
    <w:div w:id="696658467">
      <w:bodyDiv w:val="1"/>
      <w:marLeft w:val="0"/>
      <w:marRight w:val="0"/>
      <w:marTop w:val="0"/>
      <w:marBottom w:val="0"/>
      <w:divBdr>
        <w:top w:val="none" w:sz="0" w:space="0" w:color="auto"/>
        <w:left w:val="none" w:sz="0" w:space="0" w:color="auto"/>
        <w:bottom w:val="none" w:sz="0" w:space="0" w:color="auto"/>
        <w:right w:val="none" w:sz="0" w:space="0" w:color="auto"/>
      </w:divBdr>
    </w:div>
    <w:div w:id="852383634">
      <w:bodyDiv w:val="1"/>
      <w:marLeft w:val="0"/>
      <w:marRight w:val="0"/>
      <w:marTop w:val="0"/>
      <w:marBottom w:val="0"/>
      <w:divBdr>
        <w:top w:val="none" w:sz="0" w:space="0" w:color="auto"/>
        <w:left w:val="none" w:sz="0" w:space="0" w:color="auto"/>
        <w:bottom w:val="none" w:sz="0" w:space="0" w:color="auto"/>
        <w:right w:val="none" w:sz="0" w:space="0" w:color="auto"/>
      </w:divBdr>
    </w:div>
    <w:div w:id="874125619">
      <w:bodyDiv w:val="1"/>
      <w:marLeft w:val="0"/>
      <w:marRight w:val="0"/>
      <w:marTop w:val="0"/>
      <w:marBottom w:val="0"/>
      <w:divBdr>
        <w:top w:val="none" w:sz="0" w:space="0" w:color="auto"/>
        <w:left w:val="none" w:sz="0" w:space="0" w:color="auto"/>
        <w:bottom w:val="none" w:sz="0" w:space="0" w:color="auto"/>
        <w:right w:val="none" w:sz="0" w:space="0" w:color="auto"/>
      </w:divBdr>
    </w:div>
    <w:div w:id="922834288">
      <w:bodyDiv w:val="1"/>
      <w:marLeft w:val="0"/>
      <w:marRight w:val="0"/>
      <w:marTop w:val="0"/>
      <w:marBottom w:val="0"/>
      <w:divBdr>
        <w:top w:val="none" w:sz="0" w:space="0" w:color="auto"/>
        <w:left w:val="none" w:sz="0" w:space="0" w:color="auto"/>
        <w:bottom w:val="none" w:sz="0" w:space="0" w:color="auto"/>
        <w:right w:val="none" w:sz="0" w:space="0" w:color="auto"/>
      </w:divBdr>
    </w:div>
    <w:div w:id="929046383">
      <w:bodyDiv w:val="1"/>
      <w:marLeft w:val="0"/>
      <w:marRight w:val="0"/>
      <w:marTop w:val="0"/>
      <w:marBottom w:val="0"/>
      <w:divBdr>
        <w:top w:val="none" w:sz="0" w:space="0" w:color="auto"/>
        <w:left w:val="none" w:sz="0" w:space="0" w:color="auto"/>
        <w:bottom w:val="none" w:sz="0" w:space="0" w:color="auto"/>
        <w:right w:val="none" w:sz="0" w:space="0" w:color="auto"/>
      </w:divBdr>
    </w:div>
    <w:div w:id="937447570">
      <w:bodyDiv w:val="1"/>
      <w:marLeft w:val="0"/>
      <w:marRight w:val="0"/>
      <w:marTop w:val="0"/>
      <w:marBottom w:val="0"/>
      <w:divBdr>
        <w:top w:val="none" w:sz="0" w:space="0" w:color="auto"/>
        <w:left w:val="none" w:sz="0" w:space="0" w:color="auto"/>
        <w:bottom w:val="none" w:sz="0" w:space="0" w:color="auto"/>
        <w:right w:val="none" w:sz="0" w:space="0" w:color="auto"/>
      </w:divBdr>
    </w:div>
    <w:div w:id="981738570">
      <w:bodyDiv w:val="1"/>
      <w:marLeft w:val="0"/>
      <w:marRight w:val="0"/>
      <w:marTop w:val="0"/>
      <w:marBottom w:val="0"/>
      <w:divBdr>
        <w:top w:val="none" w:sz="0" w:space="0" w:color="auto"/>
        <w:left w:val="none" w:sz="0" w:space="0" w:color="auto"/>
        <w:bottom w:val="none" w:sz="0" w:space="0" w:color="auto"/>
        <w:right w:val="none" w:sz="0" w:space="0" w:color="auto"/>
      </w:divBdr>
    </w:div>
    <w:div w:id="984357439">
      <w:bodyDiv w:val="1"/>
      <w:marLeft w:val="0"/>
      <w:marRight w:val="0"/>
      <w:marTop w:val="0"/>
      <w:marBottom w:val="0"/>
      <w:divBdr>
        <w:top w:val="none" w:sz="0" w:space="0" w:color="auto"/>
        <w:left w:val="none" w:sz="0" w:space="0" w:color="auto"/>
        <w:bottom w:val="none" w:sz="0" w:space="0" w:color="auto"/>
        <w:right w:val="none" w:sz="0" w:space="0" w:color="auto"/>
      </w:divBdr>
    </w:div>
    <w:div w:id="989401017">
      <w:bodyDiv w:val="1"/>
      <w:marLeft w:val="0"/>
      <w:marRight w:val="0"/>
      <w:marTop w:val="0"/>
      <w:marBottom w:val="0"/>
      <w:divBdr>
        <w:top w:val="none" w:sz="0" w:space="0" w:color="auto"/>
        <w:left w:val="none" w:sz="0" w:space="0" w:color="auto"/>
        <w:bottom w:val="none" w:sz="0" w:space="0" w:color="auto"/>
        <w:right w:val="none" w:sz="0" w:space="0" w:color="auto"/>
      </w:divBdr>
    </w:div>
    <w:div w:id="1022240434">
      <w:bodyDiv w:val="1"/>
      <w:marLeft w:val="0"/>
      <w:marRight w:val="0"/>
      <w:marTop w:val="0"/>
      <w:marBottom w:val="0"/>
      <w:divBdr>
        <w:top w:val="none" w:sz="0" w:space="0" w:color="auto"/>
        <w:left w:val="none" w:sz="0" w:space="0" w:color="auto"/>
        <w:bottom w:val="none" w:sz="0" w:space="0" w:color="auto"/>
        <w:right w:val="none" w:sz="0" w:space="0" w:color="auto"/>
      </w:divBdr>
    </w:div>
    <w:div w:id="1078986911">
      <w:bodyDiv w:val="1"/>
      <w:marLeft w:val="0"/>
      <w:marRight w:val="0"/>
      <w:marTop w:val="0"/>
      <w:marBottom w:val="0"/>
      <w:divBdr>
        <w:top w:val="none" w:sz="0" w:space="0" w:color="auto"/>
        <w:left w:val="none" w:sz="0" w:space="0" w:color="auto"/>
        <w:bottom w:val="none" w:sz="0" w:space="0" w:color="auto"/>
        <w:right w:val="none" w:sz="0" w:space="0" w:color="auto"/>
      </w:divBdr>
    </w:div>
    <w:div w:id="1123688624">
      <w:bodyDiv w:val="1"/>
      <w:marLeft w:val="0"/>
      <w:marRight w:val="0"/>
      <w:marTop w:val="0"/>
      <w:marBottom w:val="0"/>
      <w:divBdr>
        <w:top w:val="none" w:sz="0" w:space="0" w:color="auto"/>
        <w:left w:val="none" w:sz="0" w:space="0" w:color="auto"/>
        <w:bottom w:val="none" w:sz="0" w:space="0" w:color="auto"/>
        <w:right w:val="none" w:sz="0" w:space="0" w:color="auto"/>
      </w:divBdr>
    </w:div>
    <w:div w:id="1182820907">
      <w:bodyDiv w:val="1"/>
      <w:marLeft w:val="0"/>
      <w:marRight w:val="0"/>
      <w:marTop w:val="0"/>
      <w:marBottom w:val="0"/>
      <w:divBdr>
        <w:top w:val="none" w:sz="0" w:space="0" w:color="auto"/>
        <w:left w:val="none" w:sz="0" w:space="0" w:color="auto"/>
        <w:bottom w:val="none" w:sz="0" w:space="0" w:color="auto"/>
        <w:right w:val="none" w:sz="0" w:space="0" w:color="auto"/>
      </w:divBdr>
    </w:div>
    <w:div w:id="1185482292">
      <w:bodyDiv w:val="1"/>
      <w:marLeft w:val="0"/>
      <w:marRight w:val="0"/>
      <w:marTop w:val="0"/>
      <w:marBottom w:val="0"/>
      <w:divBdr>
        <w:top w:val="none" w:sz="0" w:space="0" w:color="auto"/>
        <w:left w:val="none" w:sz="0" w:space="0" w:color="auto"/>
        <w:bottom w:val="none" w:sz="0" w:space="0" w:color="auto"/>
        <w:right w:val="none" w:sz="0" w:space="0" w:color="auto"/>
      </w:divBdr>
    </w:div>
    <w:div w:id="1234004427">
      <w:bodyDiv w:val="1"/>
      <w:marLeft w:val="0"/>
      <w:marRight w:val="0"/>
      <w:marTop w:val="0"/>
      <w:marBottom w:val="0"/>
      <w:divBdr>
        <w:top w:val="none" w:sz="0" w:space="0" w:color="auto"/>
        <w:left w:val="none" w:sz="0" w:space="0" w:color="auto"/>
        <w:bottom w:val="none" w:sz="0" w:space="0" w:color="auto"/>
        <w:right w:val="none" w:sz="0" w:space="0" w:color="auto"/>
      </w:divBdr>
    </w:div>
    <w:div w:id="1246691840">
      <w:bodyDiv w:val="1"/>
      <w:marLeft w:val="0"/>
      <w:marRight w:val="0"/>
      <w:marTop w:val="0"/>
      <w:marBottom w:val="0"/>
      <w:divBdr>
        <w:top w:val="none" w:sz="0" w:space="0" w:color="auto"/>
        <w:left w:val="none" w:sz="0" w:space="0" w:color="auto"/>
        <w:bottom w:val="none" w:sz="0" w:space="0" w:color="auto"/>
        <w:right w:val="none" w:sz="0" w:space="0" w:color="auto"/>
      </w:divBdr>
    </w:div>
    <w:div w:id="1254821805">
      <w:bodyDiv w:val="1"/>
      <w:marLeft w:val="0"/>
      <w:marRight w:val="0"/>
      <w:marTop w:val="0"/>
      <w:marBottom w:val="0"/>
      <w:divBdr>
        <w:top w:val="none" w:sz="0" w:space="0" w:color="auto"/>
        <w:left w:val="none" w:sz="0" w:space="0" w:color="auto"/>
        <w:bottom w:val="none" w:sz="0" w:space="0" w:color="auto"/>
        <w:right w:val="none" w:sz="0" w:space="0" w:color="auto"/>
      </w:divBdr>
    </w:div>
    <w:div w:id="1263956673">
      <w:bodyDiv w:val="1"/>
      <w:marLeft w:val="0"/>
      <w:marRight w:val="0"/>
      <w:marTop w:val="0"/>
      <w:marBottom w:val="0"/>
      <w:divBdr>
        <w:top w:val="none" w:sz="0" w:space="0" w:color="auto"/>
        <w:left w:val="none" w:sz="0" w:space="0" w:color="auto"/>
        <w:bottom w:val="none" w:sz="0" w:space="0" w:color="auto"/>
        <w:right w:val="none" w:sz="0" w:space="0" w:color="auto"/>
      </w:divBdr>
    </w:div>
    <w:div w:id="1266497874">
      <w:bodyDiv w:val="1"/>
      <w:marLeft w:val="0"/>
      <w:marRight w:val="0"/>
      <w:marTop w:val="0"/>
      <w:marBottom w:val="0"/>
      <w:divBdr>
        <w:top w:val="none" w:sz="0" w:space="0" w:color="auto"/>
        <w:left w:val="none" w:sz="0" w:space="0" w:color="auto"/>
        <w:bottom w:val="none" w:sz="0" w:space="0" w:color="auto"/>
        <w:right w:val="none" w:sz="0" w:space="0" w:color="auto"/>
      </w:divBdr>
    </w:div>
    <w:div w:id="1268583489">
      <w:bodyDiv w:val="1"/>
      <w:marLeft w:val="0"/>
      <w:marRight w:val="0"/>
      <w:marTop w:val="0"/>
      <w:marBottom w:val="0"/>
      <w:divBdr>
        <w:top w:val="none" w:sz="0" w:space="0" w:color="auto"/>
        <w:left w:val="none" w:sz="0" w:space="0" w:color="auto"/>
        <w:bottom w:val="none" w:sz="0" w:space="0" w:color="auto"/>
        <w:right w:val="none" w:sz="0" w:space="0" w:color="auto"/>
      </w:divBdr>
    </w:div>
    <w:div w:id="1279340061">
      <w:bodyDiv w:val="1"/>
      <w:marLeft w:val="0"/>
      <w:marRight w:val="0"/>
      <w:marTop w:val="0"/>
      <w:marBottom w:val="0"/>
      <w:divBdr>
        <w:top w:val="none" w:sz="0" w:space="0" w:color="auto"/>
        <w:left w:val="none" w:sz="0" w:space="0" w:color="auto"/>
        <w:bottom w:val="none" w:sz="0" w:space="0" w:color="auto"/>
        <w:right w:val="none" w:sz="0" w:space="0" w:color="auto"/>
      </w:divBdr>
    </w:div>
    <w:div w:id="1429082099">
      <w:bodyDiv w:val="1"/>
      <w:marLeft w:val="0"/>
      <w:marRight w:val="0"/>
      <w:marTop w:val="0"/>
      <w:marBottom w:val="0"/>
      <w:divBdr>
        <w:top w:val="none" w:sz="0" w:space="0" w:color="auto"/>
        <w:left w:val="none" w:sz="0" w:space="0" w:color="auto"/>
        <w:bottom w:val="none" w:sz="0" w:space="0" w:color="auto"/>
        <w:right w:val="none" w:sz="0" w:space="0" w:color="auto"/>
      </w:divBdr>
    </w:div>
    <w:div w:id="1457259992">
      <w:bodyDiv w:val="1"/>
      <w:marLeft w:val="0"/>
      <w:marRight w:val="0"/>
      <w:marTop w:val="0"/>
      <w:marBottom w:val="0"/>
      <w:divBdr>
        <w:top w:val="none" w:sz="0" w:space="0" w:color="auto"/>
        <w:left w:val="none" w:sz="0" w:space="0" w:color="auto"/>
        <w:bottom w:val="none" w:sz="0" w:space="0" w:color="auto"/>
        <w:right w:val="none" w:sz="0" w:space="0" w:color="auto"/>
      </w:divBdr>
    </w:div>
    <w:div w:id="1567495440">
      <w:bodyDiv w:val="1"/>
      <w:marLeft w:val="0"/>
      <w:marRight w:val="0"/>
      <w:marTop w:val="0"/>
      <w:marBottom w:val="0"/>
      <w:divBdr>
        <w:top w:val="none" w:sz="0" w:space="0" w:color="auto"/>
        <w:left w:val="none" w:sz="0" w:space="0" w:color="auto"/>
        <w:bottom w:val="none" w:sz="0" w:space="0" w:color="auto"/>
        <w:right w:val="none" w:sz="0" w:space="0" w:color="auto"/>
      </w:divBdr>
    </w:div>
    <w:div w:id="1568296953">
      <w:bodyDiv w:val="1"/>
      <w:marLeft w:val="0"/>
      <w:marRight w:val="0"/>
      <w:marTop w:val="0"/>
      <w:marBottom w:val="0"/>
      <w:divBdr>
        <w:top w:val="none" w:sz="0" w:space="0" w:color="auto"/>
        <w:left w:val="none" w:sz="0" w:space="0" w:color="auto"/>
        <w:bottom w:val="none" w:sz="0" w:space="0" w:color="auto"/>
        <w:right w:val="none" w:sz="0" w:space="0" w:color="auto"/>
      </w:divBdr>
    </w:div>
    <w:div w:id="1618677597">
      <w:bodyDiv w:val="1"/>
      <w:marLeft w:val="0"/>
      <w:marRight w:val="0"/>
      <w:marTop w:val="0"/>
      <w:marBottom w:val="0"/>
      <w:divBdr>
        <w:top w:val="none" w:sz="0" w:space="0" w:color="auto"/>
        <w:left w:val="none" w:sz="0" w:space="0" w:color="auto"/>
        <w:bottom w:val="none" w:sz="0" w:space="0" w:color="auto"/>
        <w:right w:val="none" w:sz="0" w:space="0" w:color="auto"/>
      </w:divBdr>
    </w:div>
    <w:div w:id="1629428519">
      <w:bodyDiv w:val="1"/>
      <w:marLeft w:val="0"/>
      <w:marRight w:val="0"/>
      <w:marTop w:val="0"/>
      <w:marBottom w:val="0"/>
      <w:divBdr>
        <w:top w:val="none" w:sz="0" w:space="0" w:color="auto"/>
        <w:left w:val="none" w:sz="0" w:space="0" w:color="auto"/>
        <w:bottom w:val="none" w:sz="0" w:space="0" w:color="auto"/>
        <w:right w:val="none" w:sz="0" w:space="0" w:color="auto"/>
      </w:divBdr>
    </w:div>
    <w:div w:id="1702586199">
      <w:bodyDiv w:val="1"/>
      <w:marLeft w:val="0"/>
      <w:marRight w:val="0"/>
      <w:marTop w:val="0"/>
      <w:marBottom w:val="0"/>
      <w:divBdr>
        <w:top w:val="none" w:sz="0" w:space="0" w:color="auto"/>
        <w:left w:val="none" w:sz="0" w:space="0" w:color="auto"/>
        <w:bottom w:val="none" w:sz="0" w:space="0" w:color="auto"/>
        <w:right w:val="none" w:sz="0" w:space="0" w:color="auto"/>
      </w:divBdr>
    </w:div>
    <w:div w:id="1731726004">
      <w:bodyDiv w:val="1"/>
      <w:marLeft w:val="0"/>
      <w:marRight w:val="0"/>
      <w:marTop w:val="0"/>
      <w:marBottom w:val="0"/>
      <w:divBdr>
        <w:top w:val="none" w:sz="0" w:space="0" w:color="auto"/>
        <w:left w:val="none" w:sz="0" w:space="0" w:color="auto"/>
        <w:bottom w:val="none" w:sz="0" w:space="0" w:color="auto"/>
        <w:right w:val="none" w:sz="0" w:space="0" w:color="auto"/>
      </w:divBdr>
    </w:div>
    <w:div w:id="1766850593">
      <w:bodyDiv w:val="1"/>
      <w:marLeft w:val="0"/>
      <w:marRight w:val="0"/>
      <w:marTop w:val="0"/>
      <w:marBottom w:val="0"/>
      <w:divBdr>
        <w:top w:val="none" w:sz="0" w:space="0" w:color="auto"/>
        <w:left w:val="none" w:sz="0" w:space="0" w:color="auto"/>
        <w:bottom w:val="none" w:sz="0" w:space="0" w:color="auto"/>
        <w:right w:val="none" w:sz="0" w:space="0" w:color="auto"/>
      </w:divBdr>
    </w:div>
    <w:div w:id="1776750978">
      <w:bodyDiv w:val="1"/>
      <w:marLeft w:val="0"/>
      <w:marRight w:val="0"/>
      <w:marTop w:val="0"/>
      <w:marBottom w:val="0"/>
      <w:divBdr>
        <w:top w:val="none" w:sz="0" w:space="0" w:color="auto"/>
        <w:left w:val="none" w:sz="0" w:space="0" w:color="auto"/>
        <w:bottom w:val="none" w:sz="0" w:space="0" w:color="auto"/>
        <w:right w:val="none" w:sz="0" w:space="0" w:color="auto"/>
      </w:divBdr>
    </w:div>
    <w:div w:id="1787498915">
      <w:bodyDiv w:val="1"/>
      <w:marLeft w:val="0"/>
      <w:marRight w:val="0"/>
      <w:marTop w:val="0"/>
      <w:marBottom w:val="0"/>
      <w:divBdr>
        <w:top w:val="none" w:sz="0" w:space="0" w:color="auto"/>
        <w:left w:val="none" w:sz="0" w:space="0" w:color="auto"/>
        <w:bottom w:val="none" w:sz="0" w:space="0" w:color="auto"/>
        <w:right w:val="none" w:sz="0" w:space="0" w:color="auto"/>
      </w:divBdr>
    </w:div>
    <w:div w:id="1789926715">
      <w:bodyDiv w:val="1"/>
      <w:marLeft w:val="0"/>
      <w:marRight w:val="0"/>
      <w:marTop w:val="0"/>
      <w:marBottom w:val="0"/>
      <w:divBdr>
        <w:top w:val="none" w:sz="0" w:space="0" w:color="auto"/>
        <w:left w:val="none" w:sz="0" w:space="0" w:color="auto"/>
        <w:bottom w:val="none" w:sz="0" w:space="0" w:color="auto"/>
        <w:right w:val="none" w:sz="0" w:space="0" w:color="auto"/>
      </w:divBdr>
    </w:div>
    <w:div w:id="1801075837">
      <w:bodyDiv w:val="1"/>
      <w:marLeft w:val="0"/>
      <w:marRight w:val="0"/>
      <w:marTop w:val="0"/>
      <w:marBottom w:val="0"/>
      <w:divBdr>
        <w:top w:val="none" w:sz="0" w:space="0" w:color="auto"/>
        <w:left w:val="none" w:sz="0" w:space="0" w:color="auto"/>
        <w:bottom w:val="none" w:sz="0" w:space="0" w:color="auto"/>
        <w:right w:val="none" w:sz="0" w:space="0" w:color="auto"/>
      </w:divBdr>
    </w:div>
    <w:div w:id="1801801267">
      <w:bodyDiv w:val="1"/>
      <w:marLeft w:val="0"/>
      <w:marRight w:val="0"/>
      <w:marTop w:val="0"/>
      <w:marBottom w:val="0"/>
      <w:divBdr>
        <w:top w:val="none" w:sz="0" w:space="0" w:color="auto"/>
        <w:left w:val="none" w:sz="0" w:space="0" w:color="auto"/>
        <w:bottom w:val="none" w:sz="0" w:space="0" w:color="auto"/>
        <w:right w:val="none" w:sz="0" w:space="0" w:color="auto"/>
      </w:divBdr>
    </w:div>
    <w:div w:id="1848128788">
      <w:bodyDiv w:val="1"/>
      <w:marLeft w:val="0"/>
      <w:marRight w:val="0"/>
      <w:marTop w:val="0"/>
      <w:marBottom w:val="0"/>
      <w:divBdr>
        <w:top w:val="none" w:sz="0" w:space="0" w:color="auto"/>
        <w:left w:val="none" w:sz="0" w:space="0" w:color="auto"/>
        <w:bottom w:val="none" w:sz="0" w:space="0" w:color="auto"/>
        <w:right w:val="none" w:sz="0" w:space="0" w:color="auto"/>
      </w:divBdr>
    </w:div>
    <w:div w:id="1903175427">
      <w:bodyDiv w:val="1"/>
      <w:marLeft w:val="0"/>
      <w:marRight w:val="0"/>
      <w:marTop w:val="0"/>
      <w:marBottom w:val="0"/>
      <w:divBdr>
        <w:top w:val="none" w:sz="0" w:space="0" w:color="auto"/>
        <w:left w:val="none" w:sz="0" w:space="0" w:color="auto"/>
        <w:bottom w:val="none" w:sz="0" w:space="0" w:color="auto"/>
        <w:right w:val="none" w:sz="0" w:space="0" w:color="auto"/>
      </w:divBdr>
    </w:div>
    <w:div w:id="1921790609">
      <w:bodyDiv w:val="1"/>
      <w:marLeft w:val="0"/>
      <w:marRight w:val="0"/>
      <w:marTop w:val="0"/>
      <w:marBottom w:val="0"/>
      <w:divBdr>
        <w:top w:val="none" w:sz="0" w:space="0" w:color="auto"/>
        <w:left w:val="none" w:sz="0" w:space="0" w:color="auto"/>
        <w:bottom w:val="none" w:sz="0" w:space="0" w:color="auto"/>
        <w:right w:val="none" w:sz="0" w:space="0" w:color="auto"/>
      </w:divBdr>
    </w:div>
    <w:div w:id="1924365125">
      <w:bodyDiv w:val="1"/>
      <w:marLeft w:val="0"/>
      <w:marRight w:val="0"/>
      <w:marTop w:val="0"/>
      <w:marBottom w:val="0"/>
      <w:divBdr>
        <w:top w:val="none" w:sz="0" w:space="0" w:color="auto"/>
        <w:left w:val="none" w:sz="0" w:space="0" w:color="auto"/>
        <w:bottom w:val="none" w:sz="0" w:space="0" w:color="auto"/>
        <w:right w:val="none" w:sz="0" w:space="0" w:color="auto"/>
      </w:divBdr>
    </w:div>
    <w:div w:id="1955405950">
      <w:bodyDiv w:val="1"/>
      <w:marLeft w:val="0"/>
      <w:marRight w:val="0"/>
      <w:marTop w:val="0"/>
      <w:marBottom w:val="0"/>
      <w:divBdr>
        <w:top w:val="none" w:sz="0" w:space="0" w:color="auto"/>
        <w:left w:val="none" w:sz="0" w:space="0" w:color="auto"/>
        <w:bottom w:val="none" w:sz="0" w:space="0" w:color="auto"/>
        <w:right w:val="none" w:sz="0" w:space="0" w:color="auto"/>
      </w:divBdr>
    </w:div>
    <w:div w:id="1969387888">
      <w:bodyDiv w:val="1"/>
      <w:marLeft w:val="0"/>
      <w:marRight w:val="0"/>
      <w:marTop w:val="0"/>
      <w:marBottom w:val="0"/>
      <w:divBdr>
        <w:top w:val="none" w:sz="0" w:space="0" w:color="auto"/>
        <w:left w:val="none" w:sz="0" w:space="0" w:color="auto"/>
        <w:bottom w:val="none" w:sz="0" w:space="0" w:color="auto"/>
        <w:right w:val="none" w:sz="0" w:space="0" w:color="auto"/>
      </w:divBdr>
    </w:div>
    <w:div w:id="2007661552">
      <w:bodyDiv w:val="1"/>
      <w:marLeft w:val="0"/>
      <w:marRight w:val="0"/>
      <w:marTop w:val="0"/>
      <w:marBottom w:val="0"/>
      <w:divBdr>
        <w:top w:val="none" w:sz="0" w:space="0" w:color="auto"/>
        <w:left w:val="none" w:sz="0" w:space="0" w:color="auto"/>
        <w:bottom w:val="none" w:sz="0" w:space="0" w:color="auto"/>
        <w:right w:val="none" w:sz="0" w:space="0" w:color="auto"/>
      </w:divBdr>
    </w:div>
    <w:div w:id="2013946045">
      <w:bodyDiv w:val="1"/>
      <w:marLeft w:val="0"/>
      <w:marRight w:val="0"/>
      <w:marTop w:val="0"/>
      <w:marBottom w:val="0"/>
      <w:divBdr>
        <w:top w:val="none" w:sz="0" w:space="0" w:color="auto"/>
        <w:left w:val="none" w:sz="0" w:space="0" w:color="auto"/>
        <w:bottom w:val="none" w:sz="0" w:space="0" w:color="auto"/>
        <w:right w:val="none" w:sz="0" w:space="0" w:color="auto"/>
      </w:divBdr>
    </w:div>
    <w:div w:id="2030836208">
      <w:bodyDiv w:val="1"/>
      <w:marLeft w:val="0"/>
      <w:marRight w:val="0"/>
      <w:marTop w:val="0"/>
      <w:marBottom w:val="0"/>
      <w:divBdr>
        <w:top w:val="none" w:sz="0" w:space="0" w:color="auto"/>
        <w:left w:val="none" w:sz="0" w:space="0" w:color="auto"/>
        <w:bottom w:val="none" w:sz="0" w:space="0" w:color="auto"/>
        <w:right w:val="none" w:sz="0" w:space="0" w:color="auto"/>
      </w:divBdr>
    </w:div>
    <w:div w:id="20832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ABD0-C569-42E8-98AD-F41A1884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11</Pages>
  <Words>3307</Words>
  <Characters>18189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Pérez</dc:creator>
  <cp:lastModifiedBy>Andrés Garvi Carvajal</cp:lastModifiedBy>
  <cp:revision>6</cp:revision>
  <cp:lastPrinted>2013-06-24T15:01:00Z</cp:lastPrinted>
  <dcterms:created xsi:type="dcterms:W3CDTF">2013-05-08T13:54:00Z</dcterms:created>
  <dcterms:modified xsi:type="dcterms:W3CDTF">2013-07-10T12:08:00Z</dcterms:modified>
</cp:coreProperties>
</file>